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7AE8A" w14:textId="77777777" w:rsidR="00010924" w:rsidRPr="00005F3A" w:rsidRDefault="005D2842" w:rsidP="00010924">
      <w:pPr>
        <w:jc w:val="center"/>
        <w:rPr>
          <w:rFonts w:ascii="Times New Roman" w:hAnsi="Times New Roman" w:cs="Times New Roman"/>
          <w:b/>
          <w:bCs/>
          <w:szCs w:val="24"/>
        </w:rPr>
      </w:pPr>
    </w:p>
    <w:p w14:paraId="7F5FB68D" w14:textId="77777777" w:rsidR="003F39CE" w:rsidRDefault="005D2842" w:rsidP="00010924">
      <w:pPr>
        <w:jc w:val="center"/>
        <w:rPr>
          <w:rFonts w:ascii="Times New Roman" w:hAnsi="Times New Roman" w:cs="Times New Roman"/>
          <w:b/>
          <w:bCs/>
          <w:sz w:val="32"/>
          <w:szCs w:val="32"/>
        </w:rPr>
      </w:pPr>
    </w:p>
    <w:p w14:paraId="15EB37EF" w14:textId="77777777" w:rsidR="00010924" w:rsidRPr="003F39CE" w:rsidRDefault="005D2842" w:rsidP="00010924">
      <w:pPr>
        <w:jc w:val="center"/>
        <w:rPr>
          <w:rFonts w:ascii="Times New Roman" w:hAnsi="Times New Roman" w:cs="Times New Roman"/>
          <w:b/>
          <w:bCs/>
          <w:sz w:val="32"/>
          <w:szCs w:val="32"/>
        </w:rPr>
      </w:pPr>
      <w:r w:rsidRPr="003F39CE">
        <w:rPr>
          <w:rFonts w:ascii="Times New Roman" w:hAnsi="Times New Roman" w:cs="Times New Roman"/>
          <w:b/>
          <w:bCs/>
          <w:sz w:val="32"/>
          <w:szCs w:val="32"/>
        </w:rPr>
        <w:t xml:space="preserve">Who’s The Expert?  </w:t>
      </w:r>
    </w:p>
    <w:p w14:paraId="7BCD9746" w14:textId="77777777" w:rsidR="00010924" w:rsidRPr="003F39CE" w:rsidRDefault="005D2842" w:rsidP="00010924">
      <w:pPr>
        <w:jc w:val="center"/>
        <w:rPr>
          <w:rFonts w:ascii="Times New Roman" w:hAnsi="Times New Roman" w:cs="Times New Roman"/>
          <w:b/>
          <w:bCs/>
          <w:sz w:val="32"/>
          <w:szCs w:val="32"/>
        </w:rPr>
      </w:pPr>
      <w:r w:rsidRPr="003F39CE">
        <w:rPr>
          <w:rFonts w:ascii="Times New Roman" w:hAnsi="Times New Roman" w:cs="Times New Roman"/>
          <w:b/>
          <w:bCs/>
          <w:sz w:val="32"/>
          <w:szCs w:val="32"/>
        </w:rPr>
        <w:t>Examining Life Care Planning</w:t>
      </w:r>
      <w:r w:rsidRPr="003F39CE">
        <w:rPr>
          <w:rFonts w:ascii="Times New Roman" w:hAnsi="Times New Roman" w:cs="Times New Roman"/>
          <w:b/>
          <w:bCs/>
          <w:sz w:val="32"/>
          <w:szCs w:val="32"/>
        </w:rPr>
        <w:t xml:space="preserve"> and Expert Testimony </w:t>
      </w:r>
      <w:r w:rsidRPr="003F39CE">
        <w:rPr>
          <w:rFonts w:ascii="Times New Roman" w:hAnsi="Times New Roman" w:cs="Times New Roman"/>
          <w:b/>
          <w:bCs/>
          <w:sz w:val="32"/>
          <w:szCs w:val="32"/>
        </w:rPr>
        <w:t xml:space="preserve">in Virginia </w:t>
      </w:r>
    </w:p>
    <w:p w14:paraId="19315543" w14:textId="77777777" w:rsidR="00010924" w:rsidRPr="003F39CE" w:rsidRDefault="005D2842" w:rsidP="00010924">
      <w:pPr>
        <w:jc w:val="center"/>
        <w:rPr>
          <w:rFonts w:ascii="Times New Roman" w:hAnsi="Times New Roman" w:cs="Times New Roman"/>
          <w:b/>
          <w:bCs/>
          <w:sz w:val="32"/>
          <w:szCs w:val="32"/>
        </w:rPr>
      </w:pPr>
    </w:p>
    <w:p w14:paraId="14A0B67F" w14:textId="77777777" w:rsidR="003F39CE" w:rsidRDefault="005D2842" w:rsidP="00010924">
      <w:pPr>
        <w:jc w:val="center"/>
        <w:rPr>
          <w:rFonts w:ascii="Times New Roman" w:eastAsia="Times New Roman" w:hAnsi="Times New Roman" w:cs="Times New Roman"/>
          <w:b/>
          <w:bCs/>
          <w:sz w:val="32"/>
          <w:szCs w:val="32"/>
        </w:rPr>
      </w:pPr>
      <w:bookmarkStart w:id="0" w:name="_GoBack"/>
      <w:bookmarkEnd w:id="0"/>
    </w:p>
    <w:p w14:paraId="7485E0BA" w14:textId="77777777" w:rsidR="00010924" w:rsidRPr="003F39CE" w:rsidRDefault="005D2842" w:rsidP="00010924">
      <w:pPr>
        <w:jc w:val="center"/>
        <w:rPr>
          <w:rFonts w:ascii="Times New Roman" w:eastAsia="Times New Roman" w:hAnsi="Times New Roman" w:cs="Times New Roman"/>
          <w:b/>
          <w:bCs/>
          <w:sz w:val="32"/>
          <w:szCs w:val="32"/>
        </w:rPr>
      </w:pPr>
      <w:r w:rsidRPr="003F39CE">
        <w:rPr>
          <w:rFonts w:ascii="Times New Roman" w:eastAsia="Times New Roman" w:hAnsi="Times New Roman" w:cs="Times New Roman"/>
          <w:b/>
          <w:bCs/>
          <w:sz w:val="32"/>
          <w:szCs w:val="32"/>
        </w:rPr>
        <w:t>Sean C. Workowski</w:t>
      </w:r>
    </w:p>
    <w:p w14:paraId="4F0B416C" w14:textId="77777777" w:rsidR="00010924" w:rsidRPr="003F39CE" w:rsidRDefault="005D2842" w:rsidP="00010924">
      <w:pPr>
        <w:jc w:val="center"/>
        <w:rPr>
          <w:rFonts w:ascii="Times New Roman" w:eastAsia="Times New Roman" w:hAnsi="Times New Roman" w:cs="Times New Roman"/>
          <w:b/>
          <w:bCs/>
          <w:sz w:val="32"/>
          <w:szCs w:val="32"/>
        </w:rPr>
      </w:pPr>
      <w:r w:rsidRPr="003F39CE">
        <w:rPr>
          <w:rFonts w:ascii="Times New Roman" w:eastAsia="Times New Roman" w:hAnsi="Times New Roman" w:cs="Times New Roman"/>
          <w:b/>
          <w:bCs/>
          <w:sz w:val="32"/>
          <w:szCs w:val="32"/>
        </w:rPr>
        <w:t>Frith Anderson &amp; Peake, PC</w:t>
      </w:r>
    </w:p>
    <w:p w14:paraId="7DD99DD4" w14:textId="77777777" w:rsidR="00010924" w:rsidRPr="00791668" w:rsidRDefault="005D2842" w:rsidP="00010924">
      <w:pPr>
        <w:jc w:val="center"/>
        <w:rPr>
          <w:rFonts w:ascii="Times New Roman" w:eastAsia="Times New Roman" w:hAnsi="Times New Roman" w:cs="Times New Roman"/>
          <w:b/>
          <w:bCs/>
          <w:color w:val="FF0000"/>
          <w:sz w:val="32"/>
          <w:szCs w:val="32"/>
        </w:rPr>
      </w:pPr>
    </w:p>
    <w:p w14:paraId="2088C6CD" w14:textId="77777777" w:rsidR="00010924" w:rsidRPr="003F39CE" w:rsidRDefault="005D2842" w:rsidP="00010924">
      <w:pPr>
        <w:jc w:val="center"/>
        <w:rPr>
          <w:rFonts w:ascii="Times New Roman" w:eastAsia="Times New Roman" w:hAnsi="Times New Roman" w:cs="Times New Roman"/>
          <w:b/>
          <w:bCs/>
          <w:sz w:val="32"/>
          <w:szCs w:val="32"/>
        </w:rPr>
      </w:pPr>
    </w:p>
    <w:p w14:paraId="3A3F78D2" w14:textId="77777777" w:rsidR="00010924" w:rsidRPr="003F39CE" w:rsidRDefault="005D2842" w:rsidP="00010924">
      <w:pPr>
        <w:jc w:val="center"/>
        <w:rPr>
          <w:rFonts w:ascii="Times New Roman" w:eastAsia="Times New Roman" w:hAnsi="Times New Roman" w:cs="Times New Roman"/>
          <w:b/>
          <w:bCs/>
          <w:sz w:val="32"/>
          <w:szCs w:val="32"/>
        </w:rPr>
      </w:pPr>
      <w:r w:rsidRPr="003F39CE">
        <w:rPr>
          <w:rFonts w:ascii="Times New Roman" w:eastAsia="Times New Roman" w:hAnsi="Times New Roman" w:cs="Times New Roman"/>
          <w:b/>
          <w:bCs/>
          <w:sz w:val="32"/>
          <w:szCs w:val="32"/>
        </w:rPr>
        <w:t>Susan Wirt</w:t>
      </w:r>
    </w:p>
    <w:p w14:paraId="300ADBAB" w14:textId="77777777" w:rsidR="00010924" w:rsidRPr="003F39CE" w:rsidRDefault="005D2842" w:rsidP="00010924">
      <w:pPr>
        <w:jc w:val="center"/>
        <w:rPr>
          <w:rFonts w:ascii="Times New Roman" w:eastAsia="Times New Roman" w:hAnsi="Times New Roman" w:cs="Times New Roman"/>
          <w:b/>
          <w:bCs/>
          <w:sz w:val="32"/>
          <w:szCs w:val="32"/>
        </w:rPr>
      </w:pPr>
      <w:r w:rsidRPr="003F39CE">
        <w:rPr>
          <w:rFonts w:ascii="Times New Roman" w:eastAsia="Times New Roman" w:hAnsi="Times New Roman" w:cs="Times New Roman"/>
          <w:b/>
          <w:bCs/>
          <w:sz w:val="32"/>
          <w:szCs w:val="32"/>
        </w:rPr>
        <w:t>Wirt &amp; Associates Life Care Planning</w:t>
      </w:r>
    </w:p>
    <w:p w14:paraId="2B99FE9F" w14:textId="77777777" w:rsidR="00010924" w:rsidRPr="003F39CE" w:rsidRDefault="005D2842" w:rsidP="002C17B9">
      <w:pPr>
        <w:rPr>
          <w:rFonts w:ascii="Times New Roman" w:eastAsia="Times New Roman" w:hAnsi="Times New Roman" w:cs="Times New Roman"/>
          <w:b/>
          <w:bCs/>
          <w:sz w:val="32"/>
          <w:szCs w:val="32"/>
        </w:rPr>
      </w:pPr>
    </w:p>
    <w:p w14:paraId="4DC9E8E3" w14:textId="77777777" w:rsidR="00010924" w:rsidRPr="003F39CE" w:rsidRDefault="005D2842" w:rsidP="002C17B9">
      <w:pPr>
        <w:rPr>
          <w:rFonts w:ascii="Times New Roman" w:eastAsia="Times New Roman" w:hAnsi="Times New Roman" w:cs="Times New Roman"/>
          <w:b/>
          <w:bCs/>
          <w:sz w:val="32"/>
          <w:szCs w:val="32"/>
        </w:rPr>
      </w:pPr>
    </w:p>
    <w:p w14:paraId="55F81F1C" w14:textId="77777777" w:rsidR="00010924" w:rsidRPr="003F39CE" w:rsidRDefault="005D2842" w:rsidP="002C17B9">
      <w:pPr>
        <w:rPr>
          <w:rFonts w:ascii="Times New Roman" w:eastAsia="Times New Roman" w:hAnsi="Times New Roman" w:cs="Times New Roman"/>
          <w:b/>
          <w:bCs/>
          <w:sz w:val="32"/>
          <w:szCs w:val="32"/>
        </w:rPr>
      </w:pPr>
    </w:p>
    <w:p w14:paraId="2ACE5C6D" w14:textId="77777777" w:rsidR="00010924" w:rsidRPr="003F39CE" w:rsidRDefault="005D2842" w:rsidP="002C17B9">
      <w:pPr>
        <w:rPr>
          <w:rFonts w:ascii="Times New Roman" w:eastAsia="Times New Roman" w:hAnsi="Times New Roman" w:cs="Times New Roman"/>
          <w:b/>
          <w:bCs/>
          <w:sz w:val="32"/>
          <w:szCs w:val="32"/>
        </w:rPr>
      </w:pPr>
    </w:p>
    <w:p w14:paraId="49BC809D" w14:textId="77777777" w:rsidR="00010924" w:rsidRPr="003F39CE" w:rsidRDefault="005D2842" w:rsidP="002C17B9">
      <w:pPr>
        <w:rPr>
          <w:rFonts w:ascii="Times New Roman" w:eastAsia="Times New Roman" w:hAnsi="Times New Roman" w:cs="Times New Roman"/>
          <w:b/>
          <w:bCs/>
          <w:sz w:val="32"/>
          <w:szCs w:val="32"/>
        </w:rPr>
      </w:pPr>
    </w:p>
    <w:p w14:paraId="5F9ED7A8" w14:textId="77777777" w:rsidR="00010924" w:rsidRPr="003F39CE" w:rsidRDefault="005D2842" w:rsidP="00010924">
      <w:pPr>
        <w:jc w:val="center"/>
        <w:rPr>
          <w:rFonts w:ascii="Times New Roman" w:eastAsia="Times New Roman" w:hAnsi="Times New Roman" w:cs="Times New Roman"/>
          <w:b/>
          <w:bCs/>
          <w:sz w:val="32"/>
          <w:szCs w:val="32"/>
        </w:rPr>
      </w:pPr>
      <w:r w:rsidRPr="003F39CE">
        <w:rPr>
          <w:rFonts w:ascii="Times New Roman" w:eastAsia="Times New Roman" w:hAnsi="Times New Roman" w:cs="Times New Roman"/>
          <w:b/>
          <w:bCs/>
          <w:sz w:val="32"/>
          <w:szCs w:val="32"/>
        </w:rPr>
        <w:t>VADA Annual Meeting</w:t>
      </w:r>
    </w:p>
    <w:p w14:paraId="6BC432F4" w14:textId="77777777" w:rsidR="00010924" w:rsidRPr="003F39CE" w:rsidRDefault="005D2842" w:rsidP="00010924">
      <w:pPr>
        <w:jc w:val="center"/>
        <w:rPr>
          <w:rFonts w:ascii="Times New Roman" w:eastAsia="Times New Roman" w:hAnsi="Times New Roman" w:cs="Times New Roman"/>
          <w:b/>
          <w:bCs/>
          <w:sz w:val="32"/>
          <w:szCs w:val="32"/>
        </w:rPr>
      </w:pPr>
      <w:r w:rsidRPr="003F39CE">
        <w:rPr>
          <w:rFonts w:ascii="Times New Roman" w:eastAsia="Times New Roman" w:hAnsi="Times New Roman" w:cs="Times New Roman"/>
          <w:b/>
          <w:bCs/>
          <w:sz w:val="32"/>
          <w:szCs w:val="32"/>
        </w:rPr>
        <w:t>March 13, 2020</w:t>
      </w:r>
    </w:p>
    <w:p w14:paraId="60E39C32" w14:textId="77777777" w:rsidR="00010924" w:rsidRPr="003F39CE" w:rsidRDefault="005D2842" w:rsidP="00010924">
      <w:pPr>
        <w:jc w:val="center"/>
        <w:rPr>
          <w:rFonts w:ascii="Times New Roman" w:eastAsia="Times New Roman" w:hAnsi="Times New Roman" w:cs="Times New Roman"/>
          <w:b/>
          <w:bCs/>
          <w:sz w:val="32"/>
          <w:szCs w:val="32"/>
        </w:rPr>
      </w:pPr>
      <w:r w:rsidRPr="003F39CE">
        <w:rPr>
          <w:rFonts w:ascii="Times New Roman" w:eastAsia="Times New Roman" w:hAnsi="Times New Roman" w:cs="Times New Roman"/>
          <w:b/>
          <w:bCs/>
          <w:sz w:val="32"/>
          <w:szCs w:val="32"/>
        </w:rPr>
        <w:t xml:space="preserve">University of Richmond </w:t>
      </w:r>
      <w:r w:rsidRPr="003F39CE">
        <w:rPr>
          <w:rFonts w:ascii="Times New Roman" w:eastAsia="Times New Roman" w:hAnsi="Times New Roman" w:cs="Times New Roman"/>
          <w:b/>
          <w:bCs/>
          <w:sz w:val="32"/>
          <w:szCs w:val="32"/>
        </w:rPr>
        <w:t>School of Law</w:t>
      </w:r>
    </w:p>
    <w:p w14:paraId="16EC1730" w14:textId="77777777" w:rsidR="00010924" w:rsidRPr="003F39CE" w:rsidRDefault="005D2842" w:rsidP="00010924">
      <w:pPr>
        <w:jc w:val="center"/>
        <w:rPr>
          <w:rFonts w:ascii="Times New Roman" w:eastAsia="Times New Roman" w:hAnsi="Times New Roman" w:cs="Times New Roman"/>
          <w:b/>
          <w:bCs/>
          <w:sz w:val="32"/>
          <w:szCs w:val="32"/>
        </w:rPr>
      </w:pPr>
    </w:p>
    <w:p w14:paraId="7A424AED" w14:textId="77777777" w:rsidR="00BA38CF" w:rsidRPr="00005F3A" w:rsidRDefault="005D2842" w:rsidP="002C17B9">
      <w:pPr>
        <w:rPr>
          <w:rFonts w:ascii="Times New Roman" w:hAnsi="Times New Roman" w:cs="Times New Roman"/>
          <w:b/>
          <w:bCs/>
          <w:szCs w:val="24"/>
        </w:rPr>
      </w:pPr>
      <w:r w:rsidRPr="00005F3A">
        <w:rPr>
          <w:rFonts w:ascii="Times New Roman" w:hAnsi="Times New Roman" w:cs="Times New Roman"/>
          <w:b/>
          <w:bCs/>
          <w:szCs w:val="24"/>
        </w:rPr>
        <w:t xml:space="preserve"> </w:t>
      </w:r>
    </w:p>
    <w:p w14:paraId="5C4152AB" w14:textId="77777777" w:rsidR="003C3CBA" w:rsidRPr="00005F3A" w:rsidRDefault="005D2842" w:rsidP="002C17B9">
      <w:pPr>
        <w:rPr>
          <w:rFonts w:ascii="Times New Roman" w:hAnsi="Times New Roman" w:cs="Times New Roman"/>
          <w:b/>
          <w:bCs/>
          <w:szCs w:val="24"/>
        </w:rPr>
      </w:pPr>
    </w:p>
    <w:p w14:paraId="510D4B9A" w14:textId="77777777" w:rsidR="003C3CBA" w:rsidRPr="00005F3A" w:rsidRDefault="005D2842" w:rsidP="002C17B9">
      <w:pPr>
        <w:rPr>
          <w:rFonts w:ascii="Times New Roman" w:hAnsi="Times New Roman" w:cs="Times New Roman"/>
          <w:b/>
          <w:bCs/>
          <w:szCs w:val="24"/>
        </w:rPr>
      </w:pPr>
    </w:p>
    <w:p w14:paraId="061A38DA" w14:textId="77777777" w:rsidR="003C3CBA" w:rsidRPr="00005F3A" w:rsidRDefault="005D2842" w:rsidP="002C17B9">
      <w:pPr>
        <w:rPr>
          <w:rFonts w:ascii="Times New Roman" w:hAnsi="Times New Roman" w:cs="Times New Roman"/>
          <w:b/>
          <w:bCs/>
          <w:szCs w:val="24"/>
        </w:rPr>
      </w:pPr>
    </w:p>
    <w:p w14:paraId="3703B7DF" w14:textId="77777777" w:rsidR="003C3CBA" w:rsidRPr="00005F3A" w:rsidRDefault="005D2842" w:rsidP="002C17B9">
      <w:pPr>
        <w:rPr>
          <w:rFonts w:ascii="Times New Roman" w:hAnsi="Times New Roman" w:cs="Times New Roman"/>
          <w:b/>
          <w:bCs/>
          <w:szCs w:val="24"/>
        </w:rPr>
      </w:pPr>
    </w:p>
    <w:p w14:paraId="24B1B417" w14:textId="77777777" w:rsidR="003C3CBA" w:rsidRPr="00005F3A" w:rsidRDefault="005D2842" w:rsidP="002C17B9">
      <w:pPr>
        <w:rPr>
          <w:rFonts w:ascii="Times New Roman" w:hAnsi="Times New Roman" w:cs="Times New Roman"/>
          <w:b/>
          <w:bCs/>
          <w:szCs w:val="24"/>
        </w:rPr>
      </w:pPr>
    </w:p>
    <w:p w14:paraId="5056942C" w14:textId="77777777" w:rsidR="003C3CBA" w:rsidRPr="00005F3A" w:rsidRDefault="005D2842" w:rsidP="002C17B9">
      <w:pPr>
        <w:rPr>
          <w:rFonts w:ascii="Times New Roman" w:hAnsi="Times New Roman" w:cs="Times New Roman"/>
          <w:b/>
          <w:bCs/>
          <w:szCs w:val="24"/>
        </w:rPr>
      </w:pPr>
    </w:p>
    <w:p w14:paraId="247F3035" w14:textId="77777777" w:rsidR="005522D4" w:rsidRPr="00005F3A" w:rsidRDefault="005D2842" w:rsidP="002C17B9">
      <w:pPr>
        <w:rPr>
          <w:rFonts w:ascii="Times New Roman" w:hAnsi="Times New Roman" w:cs="Times New Roman"/>
          <w:b/>
          <w:bCs/>
          <w:szCs w:val="24"/>
        </w:rPr>
      </w:pPr>
    </w:p>
    <w:p w14:paraId="3E691B06" w14:textId="77777777" w:rsidR="002C0087" w:rsidRDefault="005D2842" w:rsidP="00064E6D">
      <w:pPr>
        <w:jc w:val="center"/>
        <w:rPr>
          <w:rFonts w:ascii="Times New Roman" w:hAnsi="Times New Roman" w:cs="Times New Roman"/>
          <w:b/>
          <w:bCs/>
          <w:szCs w:val="24"/>
        </w:rPr>
      </w:pPr>
    </w:p>
    <w:p w14:paraId="613E90BE" w14:textId="77777777" w:rsidR="002C0087" w:rsidRDefault="005D2842" w:rsidP="00064E6D">
      <w:pPr>
        <w:jc w:val="center"/>
        <w:rPr>
          <w:rFonts w:ascii="Times New Roman" w:hAnsi="Times New Roman" w:cs="Times New Roman"/>
          <w:b/>
          <w:bCs/>
          <w:szCs w:val="24"/>
        </w:rPr>
      </w:pPr>
    </w:p>
    <w:p w14:paraId="3843A184" w14:textId="77777777" w:rsidR="002C0087" w:rsidRDefault="005D2842" w:rsidP="00064E6D">
      <w:pPr>
        <w:jc w:val="center"/>
        <w:rPr>
          <w:rFonts w:ascii="Times New Roman" w:hAnsi="Times New Roman" w:cs="Times New Roman"/>
          <w:b/>
          <w:bCs/>
          <w:szCs w:val="24"/>
        </w:rPr>
      </w:pPr>
    </w:p>
    <w:p w14:paraId="15980C4A" w14:textId="77777777" w:rsidR="002C0087" w:rsidRDefault="005D2842" w:rsidP="00064E6D">
      <w:pPr>
        <w:jc w:val="center"/>
        <w:rPr>
          <w:rFonts w:ascii="Times New Roman" w:hAnsi="Times New Roman" w:cs="Times New Roman"/>
          <w:b/>
          <w:bCs/>
          <w:szCs w:val="24"/>
        </w:rPr>
      </w:pPr>
    </w:p>
    <w:p w14:paraId="051C235E" w14:textId="77777777" w:rsidR="002C0087" w:rsidRDefault="005D2842" w:rsidP="00064E6D">
      <w:pPr>
        <w:jc w:val="center"/>
        <w:rPr>
          <w:rFonts w:ascii="Times New Roman" w:hAnsi="Times New Roman" w:cs="Times New Roman"/>
          <w:b/>
          <w:bCs/>
          <w:szCs w:val="24"/>
        </w:rPr>
      </w:pPr>
    </w:p>
    <w:p w14:paraId="23856E45" w14:textId="77777777" w:rsidR="002C0087" w:rsidRDefault="005D2842" w:rsidP="00064E6D">
      <w:pPr>
        <w:jc w:val="center"/>
        <w:rPr>
          <w:rFonts w:ascii="Times New Roman" w:hAnsi="Times New Roman" w:cs="Times New Roman"/>
          <w:b/>
          <w:bCs/>
          <w:szCs w:val="24"/>
        </w:rPr>
      </w:pPr>
    </w:p>
    <w:p w14:paraId="50E40B7B" w14:textId="77777777" w:rsidR="002C0087" w:rsidRDefault="005D2842" w:rsidP="00064E6D">
      <w:pPr>
        <w:jc w:val="center"/>
        <w:rPr>
          <w:rFonts w:ascii="Times New Roman" w:hAnsi="Times New Roman" w:cs="Times New Roman"/>
          <w:b/>
          <w:bCs/>
          <w:szCs w:val="24"/>
        </w:rPr>
      </w:pPr>
    </w:p>
    <w:p w14:paraId="57995349" w14:textId="77777777" w:rsidR="002C0087" w:rsidRDefault="005D2842" w:rsidP="00064E6D">
      <w:pPr>
        <w:jc w:val="center"/>
        <w:rPr>
          <w:rFonts w:ascii="Times New Roman" w:hAnsi="Times New Roman" w:cs="Times New Roman"/>
          <w:b/>
          <w:bCs/>
          <w:szCs w:val="24"/>
        </w:rPr>
      </w:pPr>
    </w:p>
    <w:p w14:paraId="301CFD0C" w14:textId="77777777" w:rsidR="002C0087" w:rsidRDefault="005D2842" w:rsidP="00064E6D">
      <w:pPr>
        <w:jc w:val="center"/>
        <w:rPr>
          <w:rFonts w:ascii="Times New Roman" w:hAnsi="Times New Roman" w:cs="Times New Roman"/>
          <w:b/>
          <w:bCs/>
          <w:szCs w:val="24"/>
        </w:rPr>
      </w:pPr>
    </w:p>
    <w:p w14:paraId="632493EB" w14:textId="77777777" w:rsidR="002C0087" w:rsidRDefault="005D2842" w:rsidP="00064E6D">
      <w:pPr>
        <w:jc w:val="center"/>
        <w:rPr>
          <w:rFonts w:ascii="Times New Roman" w:hAnsi="Times New Roman" w:cs="Times New Roman"/>
          <w:b/>
          <w:bCs/>
          <w:szCs w:val="24"/>
        </w:rPr>
      </w:pPr>
    </w:p>
    <w:p w14:paraId="0D4B810E" w14:textId="77777777" w:rsidR="002C0087" w:rsidRDefault="005D2842" w:rsidP="00064E6D">
      <w:pPr>
        <w:jc w:val="center"/>
        <w:rPr>
          <w:rFonts w:ascii="Times New Roman" w:hAnsi="Times New Roman" w:cs="Times New Roman"/>
          <w:b/>
          <w:bCs/>
          <w:szCs w:val="24"/>
        </w:rPr>
      </w:pPr>
    </w:p>
    <w:p w14:paraId="24A2B208" w14:textId="77777777" w:rsidR="00146F7C" w:rsidRPr="009F6537" w:rsidRDefault="005D2842" w:rsidP="006A2BB7">
      <w:pPr>
        <w:jc w:val="center"/>
        <w:rPr>
          <w:rFonts w:ascii="Times New Roman" w:eastAsia="Times New Roman" w:hAnsi="Times New Roman" w:cs="Times New Roman"/>
          <w:szCs w:val="24"/>
        </w:rPr>
      </w:pPr>
      <w:r w:rsidRPr="009F6537">
        <w:rPr>
          <w:rFonts w:ascii="Times New Roman" w:eastAsia="Times New Roman" w:hAnsi="Times New Roman" w:cs="Times New Roman"/>
          <w:szCs w:val="24"/>
        </w:rPr>
        <w:lastRenderedPageBreak/>
        <w:t>Introduction</w:t>
      </w:r>
    </w:p>
    <w:p w14:paraId="10949C60" w14:textId="77777777" w:rsidR="00E166FA" w:rsidRPr="00005F3A" w:rsidRDefault="005D2842" w:rsidP="00E166FA">
      <w:pPr>
        <w:pStyle w:val="ListParagraph"/>
        <w:ind w:left="1080"/>
        <w:rPr>
          <w:rFonts w:ascii="Times New Roman" w:eastAsia="Times New Roman" w:hAnsi="Times New Roman" w:cs="Times New Roman"/>
          <w:szCs w:val="24"/>
        </w:rPr>
      </w:pPr>
    </w:p>
    <w:p w14:paraId="303FBC95" w14:textId="77777777" w:rsidR="00446ED2" w:rsidRPr="00005F3A" w:rsidRDefault="005D2842" w:rsidP="00000A3D">
      <w:pPr>
        <w:ind w:firstLine="720"/>
        <w:rPr>
          <w:rFonts w:ascii="Times New Roman" w:eastAsia="Times New Roman" w:hAnsi="Times New Roman" w:cs="Times New Roman"/>
          <w:szCs w:val="24"/>
        </w:rPr>
      </w:pPr>
      <w:r w:rsidRPr="00005F3A">
        <w:rPr>
          <w:rFonts w:ascii="Times New Roman" w:eastAsia="Times New Roman" w:hAnsi="Times New Roman" w:cs="Times New Roman"/>
          <w:szCs w:val="24"/>
        </w:rPr>
        <w:t xml:space="preserve">What is a </w:t>
      </w:r>
      <w:r w:rsidRPr="00005F3A">
        <w:rPr>
          <w:rFonts w:ascii="Times New Roman" w:eastAsia="Times New Roman" w:hAnsi="Times New Roman" w:cs="Times New Roman"/>
          <w:szCs w:val="24"/>
        </w:rPr>
        <w:t>l</w:t>
      </w:r>
      <w:r w:rsidRPr="00005F3A">
        <w:rPr>
          <w:rFonts w:ascii="Times New Roman" w:eastAsia="Times New Roman" w:hAnsi="Times New Roman" w:cs="Times New Roman"/>
          <w:szCs w:val="24"/>
        </w:rPr>
        <w:t xml:space="preserve">ife </w:t>
      </w:r>
      <w:r w:rsidRPr="00005F3A">
        <w:rPr>
          <w:rFonts w:ascii="Times New Roman" w:eastAsia="Times New Roman" w:hAnsi="Times New Roman" w:cs="Times New Roman"/>
          <w:szCs w:val="24"/>
        </w:rPr>
        <w:t>c</w:t>
      </w:r>
      <w:r w:rsidRPr="00005F3A">
        <w:rPr>
          <w:rFonts w:ascii="Times New Roman" w:eastAsia="Times New Roman" w:hAnsi="Times New Roman" w:cs="Times New Roman"/>
          <w:szCs w:val="24"/>
        </w:rPr>
        <w:t xml:space="preserve">are </w:t>
      </w:r>
      <w:r w:rsidRPr="00005F3A">
        <w:rPr>
          <w:rFonts w:ascii="Times New Roman" w:eastAsia="Times New Roman" w:hAnsi="Times New Roman" w:cs="Times New Roman"/>
          <w:szCs w:val="24"/>
        </w:rPr>
        <w:t>p</w:t>
      </w:r>
      <w:r w:rsidRPr="00005F3A">
        <w:rPr>
          <w:rFonts w:ascii="Times New Roman" w:eastAsia="Times New Roman" w:hAnsi="Times New Roman" w:cs="Times New Roman"/>
          <w:szCs w:val="24"/>
        </w:rPr>
        <w:t xml:space="preserve">lan? </w:t>
      </w:r>
    </w:p>
    <w:p w14:paraId="18327254" w14:textId="77777777" w:rsidR="00446ED2" w:rsidRPr="00005F3A" w:rsidRDefault="005D2842" w:rsidP="00446ED2">
      <w:pPr>
        <w:rPr>
          <w:rFonts w:ascii="Times New Roman" w:eastAsia="Times New Roman" w:hAnsi="Times New Roman" w:cs="Times New Roman"/>
          <w:szCs w:val="24"/>
        </w:rPr>
      </w:pPr>
    </w:p>
    <w:p w14:paraId="6258BDF4" w14:textId="77777777" w:rsidR="00EE2A52" w:rsidRPr="00005F3A" w:rsidRDefault="005D2842" w:rsidP="00446ED2">
      <w:pPr>
        <w:ind w:firstLine="720"/>
        <w:rPr>
          <w:rFonts w:ascii="Times New Roman" w:eastAsia="Times New Roman" w:hAnsi="Times New Roman" w:cs="Times New Roman"/>
          <w:szCs w:val="24"/>
        </w:rPr>
      </w:pPr>
      <w:r w:rsidRPr="00005F3A">
        <w:rPr>
          <w:rFonts w:ascii="Times New Roman" w:eastAsia="Times New Roman" w:hAnsi="Times New Roman" w:cs="Times New Roman"/>
          <w:szCs w:val="24"/>
        </w:rPr>
        <w:t xml:space="preserve">Life care plans are generally designed for </w:t>
      </w:r>
      <w:r w:rsidRPr="00005F3A">
        <w:rPr>
          <w:rFonts w:ascii="Times New Roman" w:hAnsi="Times New Roman" w:cs="Times New Roman"/>
          <w:szCs w:val="24"/>
          <w:shd w:val="clear" w:color="auto" w:fill="FFFFFF"/>
        </w:rPr>
        <w:t xml:space="preserve">a person with a disability resulting from catastrophic injury. </w:t>
      </w:r>
      <w:r w:rsidRPr="00005F3A">
        <w:rPr>
          <w:rFonts w:ascii="Times New Roman" w:eastAsia="Times New Roman" w:hAnsi="Times New Roman" w:cs="Times New Roman"/>
          <w:szCs w:val="24"/>
        </w:rPr>
        <w:t>A life care plan</w:t>
      </w:r>
      <w:r w:rsidRPr="00005F3A">
        <w:rPr>
          <w:rFonts w:ascii="Times New Roman" w:eastAsia="Times New Roman" w:hAnsi="Times New Roman" w:cs="Times New Roman"/>
          <w:szCs w:val="24"/>
        </w:rPr>
        <w:t xml:space="preserve"> </w:t>
      </w:r>
      <w:r w:rsidRPr="00005F3A">
        <w:rPr>
          <w:rFonts w:ascii="Times New Roman" w:eastAsia="Times New Roman" w:hAnsi="Times New Roman" w:cs="Times New Roman"/>
          <w:szCs w:val="24"/>
        </w:rPr>
        <w:t>“</w:t>
      </w:r>
      <w:r w:rsidRPr="00005F3A">
        <w:rPr>
          <w:rFonts w:ascii="Times New Roman" w:hAnsi="Times New Roman" w:cs="Times New Roman"/>
          <w:szCs w:val="24"/>
          <w:shd w:val="clear" w:color="auto" w:fill="FFFFFF"/>
        </w:rPr>
        <w:t xml:space="preserve">is an overall service or care plan that </w:t>
      </w:r>
      <w:r w:rsidRPr="00005F3A">
        <w:rPr>
          <w:rFonts w:ascii="Times New Roman" w:hAnsi="Times New Roman" w:cs="Times New Roman"/>
          <w:szCs w:val="24"/>
          <w:shd w:val="clear" w:color="auto" w:fill="FFFFFF"/>
        </w:rPr>
        <w:t>provides for goods and services to achieve best outcomes over the life expectancy of a person with a disability resulting from catastrophic injury</w:t>
      </w:r>
      <w:r w:rsidRPr="00005F3A">
        <w:rPr>
          <w:rFonts w:ascii="Times New Roman" w:hAnsi="Times New Roman" w:cs="Times New Roman"/>
          <w:szCs w:val="24"/>
          <w:shd w:val="clear" w:color="auto" w:fill="FFFFFF"/>
        </w:rPr>
        <w:t>.”</w:t>
      </w:r>
      <w:r>
        <w:rPr>
          <w:rStyle w:val="FootnoteReference"/>
          <w:rFonts w:ascii="Times New Roman" w:hAnsi="Times New Roman" w:cs="Times New Roman"/>
          <w:szCs w:val="24"/>
          <w:shd w:val="clear" w:color="auto" w:fill="FFFFFF"/>
        </w:rPr>
        <w:footnoteReference w:id="1"/>
      </w:r>
      <w:r>
        <w:rPr>
          <w:rFonts w:ascii="Times New Roman" w:hAnsi="Times New Roman" w:cs="Times New Roman"/>
          <w:szCs w:val="24"/>
          <w:shd w:val="clear" w:color="auto" w:fill="FFFFFF"/>
        </w:rPr>
        <w:t xml:space="preserve"> </w:t>
      </w:r>
      <w:r w:rsidRPr="00005F3A">
        <w:rPr>
          <w:rFonts w:ascii="Times New Roman" w:eastAsia="Times New Roman" w:hAnsi="Times New Roman" w:cs="Times New Roman"/>
          <w:szCs w:val="24"/>
        </w:rPr>
        <w:t>The planner works with the patient and medical experts to assess the needs and costs of the patient</w:t>
      </w:r>
      <w:r w:rsidRPr="00005F3A">
        <w:rPr>
          <w:rFonts w:ascii="Times New Roman" w:eastAsia="Times New Roman" w:hAnsi="Times New Roman" w:cs="Times New Roman"/>
          <w:szCs w:val="24"/>
        </w:rPr>
        <w:t>’s car</w:t>
      </w:r>
      <w:r w:rsidRPr="00005F3A">
        <w:rPr>
          <w:rFonts w:ascii="Times New Roman" w:eastAsia="Times New Roman" w:hAnsi="Times New Roman" w:cs="Times New Roman"/>
          <w:szCs w:val="24"/>
        </w:rPr>
        <w:t>e</w:t>
      </w:r>
      <w:r w:rsidRPr="00005F3A">
        <w:rPr>
          <w:rFonts w:ascii="Times New Roman" w:eastAsia="Times New Roman" w:hAnsi="Times New Roman" w:cs="Times New Roman"/>
          <w:szCs w:val="24"/>
        </w:rPr>
        <w:t xml:space="preserve">. </w:t>
      </w:r>
      <w:r w:rsidRPr="00005F3A">
        <w:rPr>
          <w:rFonts w:ascii="Times New Roman" w:eastAsia="Times New Roman" w:hAnsi="Times New Roman" w:cs="Times New Roman"/>
          <w:szCs w:val="24"/>
        </w:rPr>
        <w:t xml:space="preserve">It is a </w:t>
      </w:r>
      <w:r w:rsidRPr="00005F3A">
        <w:rPr>
          <w:rFonts w:ascii="Times New Roman" w:eastAsia="Times New Roman" w:hAnsi="Times New Roman" w:cs="Times New Roman"/>
          <w:szCs w:val="24"/>
        </w:rPr>
        <w:t>“d</w:t>
      </w:r>
      <w:r w:rsidRPr="00005F3A">
        <w:rPr>
          <w:rFonts w:ascii="Times New Roman" w:eastAsia="Times New Roman" w:hAnsi="Times New Roman" w:cs="Times New Roman"/>
          <w:szCs w:val="24"/>
        </w:rPr>
        <w:t>ynamic document based upon published standards of practice, comprehensive assessment, data analysis, and research, which provides an organized, concise plan for current and future needs with associated costs for individuals who have experience</w:t>
      </w:r>
      <w:r w:rsidRPr="00005F3A">
        <w:rPr>
          <w:rFonts w:ascii="Times New Roman" w:eastAsia="Times New Roman" w:hAnsi="Times New Roman" w:cs="Times New Roman"/>
          <w:szCs w:val="24"/>
        </w:rPr>
        <w:t xml:space="preserve">d catastrophic injury or have chronic health care needs.” </w:t>
      </w:r>
      <w:r>
        <w:rPr>
          <w:rStyle w:val="FootnoteReference"/>
          <w:rFonts w:ascii="Times New Roman" w:eastAsia="Times New Roman" w:hAnsi="Times New Roman" w:cs="Times New Roman"/>
          <w:szCs w:val="24"/>
        </w:rPr>
        <w:footnoteReference w:id="2"/>
      </w:r>
    </w:p>
    <w:p w14:paraId="017C37C0" w14:textId="77777777" w:rsidR="00446ED2" w:rsidRPr="00005F3A" w:rsidRDefault="005D2842" w:rsidP="00446ED2">
      <w:pPr>
        <w:ind w:firstLine="720"/>
        <w:rPr>
          <w:rFonts w:ascii="Times New Roman" w:eastAsia="Times New Roman" w:hAnsi="Times New Roman" w:cs="Times New Roman"/>
          <w:szCs w:val="24"/>
        </w:rPr>
      </w:pPr>
    </w:p>
    <w:p w14:paraId="157368C4" w14:textId="77777777" w:rsidR="002D4A4F" w:rsidRPr="00005F3A" w:rsidRDefault="005D2842" w:rsidP="00446ED2">
      <w:pPr>
        <w:ind w:firstLine="720"/>
        <w:rPr>
          <w:rFonts w:ascii="Times New Roman" w:hAnsi="Times New Roman" w:cs="Times New Roman"/>
          <w:szCs w:val="24"/>
        </w:rPr>
      </w:pPr>
      <w:r w:rsidRPr="00005F3A">
        <w:rPr>
          <w:rFonts w:ascii="Times New Roman" w:eastAsia="Times New Roman" w:hAnsi="Times New Roman" w:cs="Times New Roman"/>
          <w:szCs w:val="24"/>
        </w:rPr>
        <w:t xml:space="preserve">In litigation, life care plans are powerful tools </w:t>
      </w:r>
      <w:r>
        <w:rPr>
          <w:rFonts w:ascii="Times New Roman" w:eastAsia="Times New Roman" w:hAnsi="Times New Roman" w:cs="Times New Roman"/>
          <w:szCs w:val="24"/>
        </w:rPr>
        <w:t xml:space="preserve">that serve many </w:t>
      </w:r>
      <w:r w:rsidRPr="00005F3A">
        <w:rPr>
          <w:rFonts w:ascii="Times New Roman" w:eastAsia="Times New Roman" w:hAnsi="Times New Roman" w:cs="Times New Roman"/>
          <w:szCs w:val="24"/>
        </w:rPr>
        <w:t>uses</w:t>
      </w:r>
      <w:r>
        <w:rPr>
          <w:rFonts w:ascii="Times New Roman" w:eastAsia="Times New Roman" w:hAnsi="Times New Roman" w:cs="Times New Roman"/>
          <w:szCs w:val="24"/>
        </w:rPr>
        <w:t xml:space="preserve">. </w:t>
      </w:r>
      <w:r w:rsidRPr="00005F3A">
        <w:rPr>
          <w:rFonts w:ascii="Times New Roman" w:eastAsia="Times New Roman" w:hAnsi="Times New Roman" w:cs="Times New Roman"/>
          <w:szCs w:val="24"/>
        </w:rPr>
        <w:t xml:space="preserve">Often, </w:t>
      </w:r>
      <w:r>
        <w:rPr>
          <w:rFonts w:ascii="Times New Roman" w:eastAsia="Times New Roman" w:hAnsi="Times New Roman" w:cs="Times New Roman"/>
          <w:szCs w:val="24"/>
        </w:rPr>
        <w:t>p</w:t>
      </w:r>
      <w:r w:rsidRPr="00005F3A">
        <w:rPr>
          <w:rFonts w:ascii="Times New Roman" w:eastAsia="Times New Roman" w:hAnsi="Times New Roman" w:cs="Times New Roman"/>
          <w:szCs w:val="24"/>
        </w:rPr>
        <w:t xml:space="preserve">laintiffs use these plans to </w:t>
      </w:r>
      <w:r w:rsidRPr="00005F3A">
        <w:rPr>
          <w:rFonts w:ascii="Times New Roman" w:eastAsia="Times New Roman" w:hAnsi="Times New Roman" w:cs="Times New Roman"/>
          <w:szCs w:val="24"/>
        </w:rPr>
        <w:t>determine whether their own expert</w:t>
      </w:r>
      <w:r w:rsidRPr="00005F3A">
        <w:rPr>
          <w:rFonts w:ascii="Times New Roman" w:eastAsia="Times New Roman" w:hAnsi="Times New Roman" w:cs="Times New Roman"/>
          <w:szCs w:val="24"/>
        </w:rPr>
        <w:t xml:space="preserve">’s report </w:t>
      </w:r>
      <w:r w:rsidRPr="00005F3A">
        <w:rPr>
          <w:rFonts w:ascii="Times New Roman" w:eastAsia="Times New Roman" w:hAnsi="Times New Roman" w:cs="Times New Roman"/>
          <w:szCs w:val="24"/>
        </w:rPr>
        <w:t xml:space="preserve">will be supported or </w:t>
      </w:r>
      <w:r w:rsidRPr="00005F3A">
        <w:rPr>
          <w:rFonts w:ascii="Times New Roman" w:eastAsia="Times New Roman" w:hAnsi="Times New Roman" w:cs="Times New Roman"/>
          <w:szCs w:val="24"/>
        </w:rPr>
        <w:t>disqualified</w:t>
      </w:r>
      <w:r w:rsidRPr="00005F3A">
        <w:rPr>
          <w:rFonts w:ascii="Times New Roman" w:eastAsia="Times New Roman" w:hAnsi="Times New Roman" w:cs="Times New Roman"/>
          <w:szCs w:val="24"/>
        </w:rPr>
        <w:t xml:space="preserve">. </w:t>
      </w:r>
      <w:r w:rsidRPr="00005F3A">
        <w:rPr>
          <w:rFonts w:ascii="Times New Roman" w:eastAsia="Times New Roman" w:hAnsi="Times New Roman" w:cs="Times New Roman"/>
          <w:szCs w:val="24"/>
        </w:rPr>
        <w:t xml:space="preserve">Alternatively, </w:t>
      </w:r>
      <w:r>
        <w:rPr>
          <w:rFonts w:ascii="Times New Roman" w:eastAsia="Times New Roman" w:hAnsi="Times New Roman" w:cs="Times New Roman"/>
          <w:szCs w:val="24"/>
        </w:rPr>
        <w:t>d</w:t>
      </w:r>
      <w:r w:rsidRPr="00005F3A">
        <w:rPr>
          <w:rFonts w:ascii="Times New Roman" w:eastAsia="Times New Roman" w:hAnsi="Times New Roman" w:cs="Times New Roman"/>
          <w:szCs w:val="24"/>
        </w:rPr>
        <w:t>efendants</w:t>
      </w:r>
      <w:r w:rsidRPr="00005F3A">
        <w:rPr>
          <w:rFonts w:ascii="Times New Roman" w:eastAsia="Times New Roman" w:hAnsi="Times New Roman" w:cs="Times New Roman"/>
          <w:szCs w:val="24"/>
        </w:rPr>
        <w:t xml:space="preserve"> use these</w:t>
      </w:r>
      <w:r>
        <w:rPr>
          <w:rFonts w:ascii="Times New Roman" w:eastAsia="Times New Roman" w:hAnsi="Times New Roman" w:cs="Times New Roman"/>
          <w:szCs w:val="24"/>
        </w:rPr>
        <w:t xml:space="preserve"> plans</w:t>
      </w:r>
      <w:r w:rsidRPr="00005F3A">
        <w:rPr>
          <w:rFonts w:ascii="Times New Roman" w:eastAsia="Times New Roman" w:hAnsi="Times New Roman" w:cs="Times New Roman"/>
          <w:szCs w:val="24"/>
        </w:rPr>
        <w:t xml:space="preserve"> to</w:t>
      </w:r>
      <w:r w:rsidRPr="00005F3A">
        <w:rPr>
          <w:rFonts w:ascii="Times New Roman" w:eastAsia="Times New Roman" w:hAnsi="Times New Roman" w:cs="Times New Roman"/>
          <w:szCs w:val="24"/>
        </w:rPr>
        <w:t xml:space="preserve"> critique</w:t>
      </w:r>
      <w:r w:rsidRPr="00005F3A">
        <w:rPr>
          <w:rFonts w:ascii="Times New Roman" w:eastAsia="Times New Roman" w:hAnsi="Times New Roman" w:cs="Times New Roman"/>
          <w:szCs w:val="24"/>
        </w:rPr>
        <w:t xml:space="preserve"> </w:t>
      </w:r>
      <w:r>
        <w:rPr>
          <w:rFonts w:ascii="Times New Roman" w:eastAsia="Times New Roman" w:hAnsi="Times New Roman" w:cs="Times New Roman"/>
          <w:szCs w:val="24"/>
        </w:rPr>
        <w:t>p</w:t>
      </w:r>
      <w:r w:rsidRPr="00005F3A">
        <w:rPr>
          <w:rFonts w:ascii="Times New Roman" w:eastAsia="Times New Roman" w:hAnsi="Times New Roman" w:cs="Times New Roman"/>
          <w:szCs w:val="24"/>
        </w:rPr>
        <w:t>laintiff’s expert.</w:t>
      </w:r>
      <w:r>
        <w:rPr>
          <w:rStyle w:val="FootnoteReference"/>
          <w:rFonts w:ascii="Times New Roman" w:eastAsia="Times New Roman" w:hAnsi="Times New Roman" w:cs="Times New Roman"/>
          <w:szCs w:val="24"/>
        </w:rPr>
        <w:footnoteReference w:id="3"/>
      </w:r>
      <w:r>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As a result, this testimony  can </w:t>
      </w:r>
      <w:r w:rsidRPr="00005F3A">
        <w:rPr>
          <w:rFonts w:ascii="Times New Roman" w:hAnsi="Times New Roman" w:cs="Times New Roman"/>
          <w:szCs w:val="24"/>
        </w:rPr>
        <w:t>have a significant impact on how the jury views issues of evidence and ultimately damages</w:t>
      </w:r>
      <w:r>
        <w:rPr>
          <w:rFonts w:ascii="Times New Roman" w:hAnsi="Times New Roman" w:cs="Times New Roman"/>
          <w:szCs w:val="24"/>
        </w:rPr>
        <w:t xml:space="preserve">. </w:t>
      </w:r>
      <w:r w:rsidRPr="00005F3A">
        <w:rPr>
          <w:rFonts w:ascii="Times New Roman" w:hAnsi="Times New Roman" w:cs="Times New Roman"/>
          <w:szCs w:val="24"/>
        </w:rPr>
        <w:t xml:space="preserve"> </w:t>
      </w:r>
      <w:r>
        <w:rPr>
          <w:rFonts w:ascii="Times New Roman" w:hAnsi="Times New Roman" w:cs="Times New Roman"/>
          <w:szCs w:val="24"/>
        </w:rPr>
        <w:t>I</w:t>
      </w:r>
      <w:r w:rsidRPr="00005F3A">
        <w:rPr>
          <w:rFonts w:ascii="Times New Roman" w:hAnsi="Times New Roman" w:cs="Times New Roman"/>
          <w:szCs w:val="24"/>
        </w:rPr>
        <w:t>t is essential that we understand how th</w:t>
      </w:r>
      <w:r w:rsidRPr="00005F3A">
        <w:rPr>
          <w:rFonts w:ascii="Times New Roman" w:hAnsi="Times New Roman" w:cs="Times New Roman"/>
          <w:szCs w:val="24"/>
        </w:rPr>
        <w:t xml:space="preserve">ese plans are compiled and how </w:t>
      </w:r>
      <w:r>
        <w:rPr>
          <w:rFonts w:ascii="Times New Roman" w:hAnsi="Times New Roman" w:cs="Times New Roman"/>
          <w:szCs w:val="24"/>
        </w:rPr>
        <w:t xml:space="preserve">Virginia </w:t>
      </w:r>
      <w:r w:rsidRPr="00005F3A">
        <w:rPr>
          <w:rFonts w:ascii="Times New Roman" w:hAnsi="Times New Roman" w:cs="Times New Roman"/>
          <w:szCs w:val="24"/>
        </w:rPr>
        <w:t xml:space="preserve">courts </w:t>
      </w:r>
      <w:r>
        <w:rPr>
          <w:rFonts w:ascii="Times New Roman" w:hAnsi="Times New Roman" w:cs="Times New Roman"/>
          <w:szCs w:val="24"/>
        </w:rPr>
        <w:t xml:space="preserve">treat  expert testimony. </w:t>
      </w:r>
      <w:r w:rsidRPr="00005F3A">
        <w:rPr>
          <w:rFonts w:ascii="Times New Roman" w:hAnsi="Times New Roman" w:cs="Times New Roman"/>
          <w:szCs w:val="24"/>
        </w:rPr>
        <w:t xml:space="preserve"> </w:t>
      </w:r>
    </w:p>
    <w:p w14:paraId="0786DA89" w14:textId="77777777" w:rsidR="002D4A4F" w:rsidRPr="00005F3A" w:rsidRDefault="005D2842" w:rsidP="00446ED2">
      <w:pPr>
        <w:ind w:firstLine="720"/>
        <w:rPr>
          <w:rFonts w:ascii="Times New Roman" w:hAnsi="Times New Roman" w:cs="Times New Roman"/>
          <w:szCs w:val="24"/>
        </w:rPr>
      </w:pPr>
    </w:p>
    <w:p w14:paraId="5B7A62A4" w14:textId="77777777" w:rsidR="001B35B6" w:rsidRPr="00005F3A" w:rsidRDefault="005D2842" w:rsidP="00446ED2">
      <w:pPr>
        <w:ind w:firstLine="720"/>
        <w:rPr>
          <w:rFonts w:ascii="Times New Roman" w:hAnsi="Times New Roman" w:cs="Times New Roman"/>
          <w:szCs w:val="24"/>
        </w:rPr>
      </w:pPr>
      <w:r w:rsidRPr="00005F3A">
        <w:rPr>
          <w:rFonts w:ascii="Times New Roman" w:hAnsi="Times New Roman" w:cs="Times New Roman"/>
          <w:szCs w:val="24"/>
        </w:rPr>
        <w:t xml:space="preserve"> </w:t>
      </w:r>
      <w:bookmarkStart w:id="2" w:name="_Hlk32993610"/>
      <w:r w:rsidRPr="00005F3A">
        <w:rPr>
          <w:rFonts w:ascii="Times New Roman" w:hAnsi="Times New Roman" w:cs="Times New Roman"/>
          <w:szCs w:val="24"/>
        </w:rPr>
        <w:t>These materials and corresponding presentation will discuss</w:t>
      </w:r>
      <w:r w:rsidRPr="00005F3A">
        <w:rPr>
          <w:rFonts w:ascii="Times New Roman" w:hAnsi="Times New Roman" w:cs="Times New Roman"/>
          <w:szCs w:val="24"/>
        </w:rPr>
        <w:t xml:space="preserve"> the treatment of life care plans in Virginia Courts by reviewing: </w:t>
      </w:r>
      <w:bookmarkStart w:id="3" w:name="_Hlk32824929"/>
      <w:r w:rsidRPr="00005F3A">
        <w:rPr>
          <w:rFonts w:ascii="Times New Roman" w:hAnsi="Times New Roman" w:cs="Times New Roman"/>
          <w:szCs w:val="24"/>
        </w:rPr>
        <w:t>(</w:t>
      </w:r>
      <w:r w:rsidRPr="00005F3A">
        <w:rPr>
          <w:rFonts w:ascii="Times New Roman" w:hAnsi="Times New Roman" w:cs="Times New Roman"/>
          <w:szCs w:val="24"/>
        </w:rPr>
        <w:t>I</w:t>
      </w:r>
      <w:r w:rsidRPr="00005F3A">
        <w:rPr>
          <w:rFonts w:ascii="Times New Roman" w:hAnsi="Times New Roman" w:cs="Times New Roman"/>
          <w:szCs w:val="24"/>
        </w:rPr>
        <w:t>)</w:t>
      </w:r>
      <w:r w:rsidRPr="00005F3A">
        <w:rPr>
          <w:rFonts w:ascii="Times New Roman" w:hAnsi="Times New Roman" w:cs="Times New Roman"/>
          <w:szCs w:val="24"/>
        </w:rPr>
        <w:t xml:space="preserve"> </w:t>
      </w:r>
      <w:r>
        <w:rPr>
          <w:rFonts w:ascii="Times New Roman" w:hAnsi="Times New Roman" w:cs="Times New Roman"/>
          <w:szCs w:val="24"/>
        </w:rPr>
        <w:t>the treatment of life care plans in the United State</w:t>
      </w:r>
      <w:r>
        <w:rPr>
          <w:rFonts w:ascii="Times New Roman" w:hAnsi="Times New Roman" w:cs="Times New Roman"/>
          <w:szCs w:val="24"/>
        </w:rPr>
        <w:t>s</w:t>
      </w:r>
      <w:r>
        <w:rPr>
          <w:rFonts w:ascii="Times New Roman" w:hAnsi="Times New Roman" w:cs="Times New Roman"/>
          <w:szCs w:val="24"/>
        </w:rPr>
        <w:t xml:space="preserve"> District Court for the Western District of Virginia</w:t>
      </w:r>
      <w:r w:rsidRPr="00005F3A">
        <w:rPr>
          <w:rFonts w:ascii="Times New Roman" w:hAnsi="Times New Roman" w:cs="Times New Roman"/>
          <w:szCs w:val="24"/>
        </w:rPr>
        <w:t>; (II)</w:t>
      </w:r>
      <w:r w:rsidRPr="00005F3A">
        <w:rPr>
          <w:rFonts w:ascii="Times New Roman" w:hAnsi="Times New Roman" w:cs="Times New Roman"/>
          <w:szCs w:val="24"/>
        </w:rPr>
        <w:t xml:space="preserve"> </w:t>
      </w:r>
      <w:r w:rsidRPr="00005F3A">
        <w:rPr>
          <w:rFonts w:ascii="Times New Roman" w:hAnsi="Times New Roman" w:cs="Times New Roman"/>
          <w:szCs w:val="24"/>
        </w:rPr>
        <w:t>the admissibility</w:t>
      </w:r>
      <w:r>
        <w:rPr>
          <w:rFonts w:ascii="Times New Roman" w:hAnsi="Times New Roman" w:cs="Times New Roman"/>
          <w:szCs w:val="24"/>
        </w:rPr>
        <w:t xml:space="preserve"> </w:t>
      </w:r>
      <w:r w:rsidRPr="00005F3A">
        <w:rPr>
          <w:rFonts w:ascii="Times New Roman" w:hAnsi="Times New Roman" w:cs="Times New Roman"/>
          <w:szCs w:val="24"/>
        </w:rPr>
        <w:t>of expert witness testimony</w:t>
      </w:r>
      <w:r w:rsidRPr="00005F3A">
        <w:rPr>
          <w:rFonts w:ascii="Times New Roman" w:hAnsi="Times New Roman" w:cs="Times New Roman"/>
          <w:szCs w:val="24"/>
        </w:rPr>
        <w:t xml:space="preserve"> in Virginia </w:t>
      </w:r>
      <w:r>
        <w:rPr>
          <w:rFonts w:ascii="Times New Roman" w:hAnsi="Times New Roman" w:cs="Times New Roman"/>
          <w:szCs w:val="24"/>
        </w:rPr>
        <w:t xml:space="preserve">State </w:t>
      </w:r>
      <w:r w:rsidRPr="00005F3A">
        <w:rPr>
          <w:rFonts w:ascii="Times New Roman" w:hAnsi="Times New Roman" w:cs="Times New Roman"/>
          <w:szCs w:val="24"/>
        </w:rPr>
        <w:t>Courts</w:t>
      </w:r>
      <w:r w:rsidRPr="00005F3A">
        <w:rPr>
          <w:rFonts w:ascii="Times New Roman" w:hAnsi="Times New Roman" w:cs="Times New Roman"/>
          <w:szCs w:val="24"/>
        </w:rPr>
        <w:t>;</w:t>
      </w:r>
      <w:r>
        <w:rPr>
          <w:rFonts w:ascii="Times New Roman" w:hAnsi="Times New Roman" w:cs="Times New Roman"/>
          <w:szCs w:val="24"/>
        </w:rPr>
        <w:t xml:space="preserve"> </w:t>
      </w:r>
      <w:r w:rsidRPr="00CF5DD6">
        <w:rPr>
          <w:rFonts w:ascii="Times New Roman" w:hAnsi="Times New Roman" w:cs="Times New Roman"/>
          <w:szCs w:val="24"/>
        </w:rPr>
        <w:t>(III)</w:t>
      </w:r>
      <w:r w:rsidRPr="00CF5DD6">
        <w:rPr>
          <w:rFonts w:ascii="Times New Roman" w:hAnsi="Times New Roman" w:cs="Times New Roman"/>
          <w:szCs w:val="24"/>
        </w:rPr>
        <w:t xml:space="preserve"> </w:t>
      </w:r>
      <w:r w:rsidRPr="00CF5DD6">
        <w:rPr>
          <w:rFonts w:ascii="Times New Roman" w:hAnsi="Times New Roman" w:cs="Times New Roman"/>
          <w:szCs w:val="24"/>
        </w:rPr>
        <w:t>q</w:t>
      </w:r>
      <w:r w:rsidRPr="00CF5DD6">
        <w:rPr>
          <w:rFonts w:ascii="Times New Roman" w:hAnsi="Times New Roman" w:cs="Times New Roman"/>
          <w:szCs w:val="24"/>
        </w:rPr>
        <w:t>ualification</w:t>
      </w:r>
      <w:r w:rsidRPr="00CF5DD6">
        <w:rPr>
          <w:rFonts w:ascii="Times New Roman" w:hAnsi="Times New Roman" w:cs="Times New Roman"/>
          <w:szCs w:val="24"/>
        </w:rPr>
        <w:t>s</w:t>
      </w:r>
      <w:r w:rsidRPr="00CF5DD6">
        <w:rPr>
          <w:rFonts w:ascii="Times New Roman" w:hAnsi="Times New Roman" w:cs="Times New Roman"/>
          <w:szCs w:val="24"/>
        </w:rPr>
        <w:t xml:space="preserve"> </w:t>
      </w:r>
      <w:r w:rsidRPr="00005F3A">
        <w:rPr>
          <w:rFonts w:ascii="Times New Roman" w:hAnsi="Times New Roman" w:cs="Times New Roman"/>
          <w:szCs w:val="24"/>
        </w:rPr>
        <w:t>of life care planers</w:t>
      </w:r>
      <w:r w:rsidRPr="00005F3A">
        <w:rPr>
          <w:rFonts w:ascii="Times New Roman" w:hAnsi="Times New Roman" w:cs="Times New Roman"/>
          <w:szCs w:val="24"/>
        </w:rPr>
        <w:t>; and (</w:t>
      </w:r>
      <w:r>
        <w:rPr>
          <w:rFonts w:ascii="Times New Roman" w:hAnsi="Times New Roman" w:cs="Times New Roman"/>
          <w:szCs w:val="24"/>
        </w:rPr>
        <w:t>I</w:t>
      </w:r>
      <w:r w:rsidRPr="00005F3A">
        <w:rPr>
          <w:rFonts w:ascii="Times New Roman" w:hAnsi="Times New Roman" w:cs="Times New Roman"/>
          <w:szCs w:val="24"/>
        </w:rPr>
        <w:t>V</w:t>
      </w:r>
      <w:r w:rsidRPr="00005F3A">
        <w:rPr>
          <w:rFonts w:ascii="Times New Roman" w:hAnsi="Times New Roman" w:cs="Times New Roman"/>
          <w:szCs w:val="24"/>
        </w:rPr>
        <w:t xml:space="preserve">) </w:t>
      </w:r>
      <w:r w:rsidRPr="00005F3A">
        <w:rPr>
          <w:rFonts w:ascii="Times New Roman" w:hAnsi="Times New Roman" w:cs="Times New Roman"/>
          <w:szCs w:val="24"/>
        </w:rPr>
        <w:t>practical tips for cross examining life care planners</w:t>
      </w:r>
      <w:r>
        <w:rPr>
          <w:rFonts w:ascii="Times New Roman" w:hAnsi="Times New Roman" w:cs="Times New Roman"/>
          <w:szCs w:val="24"/>
        </w:rPr>
        <w:t xml:space="preserve">; </w:t>
      </w:r>
      <w:r>
        <w:rPr>
          <w:rFonts w:ascii="Times New Roman" w:hAnsi="Times New Roman" w:cs="Times New Roman"/>
          <w:szCs w:val="24"/>
        </w:rPr>
        <w:t xml:space="preserve">(V) </w:t>
      </w:r>
      <w:r>
        <w:rPr>
          <w:rFonts w:ascii="Times New Roman" w:hAnsi="Times New Roman" w:cs="Times New Roman"/>
          <w:szCs w:val="24"/>
        </w:rPr>
        <w:t>c</w:t>
      </w:r>
      <w:r>
        <w:rPr>
          <w:rFonts w:ascii="Times New Roman" w:hAnsi="Times New Roman" w:cs="Times New Roman"/>
          <w:szCs w:val="24"/>
        </w:rPr>
        <w:t>onclusion</w:t>
      </w:r>
      <w:bookmarkEnd w:id="2"/>
      <w:r>
        <w:rPr>
          <w:rFonts w:ascii="Times New Roman" w:hAnsi="Times New Roman" w:cs="Times New Roman"/>
          <w:szCs w:val="24"/>
        </w:rPr>
        <w:t xml:space="preserve">. </w:t>
      </w:r>
    </w:p>
    <w:bookmarkEnd w:id="3"/>
    <w:p w14:paraId="01271DDD" w14:textId="77777777" w:rsidR="00000A3D" w:rsidRPr="00005F3A" w:rsidRDefault="005D2842" w:rsidP="00446ED2">
      <w:pPr>
        <w:ind w:firstLine="720"/>
        <w:rPr>
          <w:rFonts w:ascii="Times New Roman" w:hAnsi="Times New Roman" w:cs="Times New Roman"/>
          <w:szCs w:val="24"/>
        </w:rPr>
      </w:pPr>
    </w:p>
    <w:p w14:paraId="54B14ED9" w14:textId="77777777" w:rsidR="00000A3D" w:rsidRPr="003F39CE" w:rsidRDefault="005D2842" w:rsidP="00000A3D">
      <w:pPr>
        <w:pStyle w:val="ListParagraph"/>
        <w:numPr>
          <w:ilvl w:val="0"/>
          <w:numId w:val="8"/>
        </w:numPr>
        <w:rPr>
          <w:rFonts w:ascii="Times New Roman" w:eastAsia="Times New Roman" w:hAnsi="Times New Roman" w:cs="Times New Roman"/>
          <w:szCs w:val="24"/>
          <w:u w:val="single"/>
        </w:rPr>
      </w:pPr>
      <w:r w:rsidRPr="003F39CE">
        <w:rPr>
          <w:rFonts w:ascii="Times New Roman" w:eastAsia="Times New Roman" w:hAnsi="Times New Roman" w:cs="Times New Roman"/>
          <w:szCs w:val="24"/>
          <w:u w:val="single"/>
        </w:rPr>
        <w:t xml:space="preserve">Treatment of Life Care Plans </w:t>
      </w:r>
      <w:r w:rsidRPr="003F39CE">
        <w:rPr>
          <w:rFonts w:ascii="Times New Roman" w:hAnsi="Times New Roman" w:cs="Times New Roman"/>
          <w:szCs w:val="24"/>
          <w:u w:val="single"/>
        </w:rPr>
        <w:t>in the United State</w:t>
      </w:r>
      <w:r>
        <w:rPr>
          <w:rFonts w:ascii="Times New Roman" w:hAnsi="Times New Roman" w:cs="Times New Roman"/>
          <w:szCs w:val="24"/>
          <w:u w:val="single"/>
        </w:rPr>
        <w:t>s</w:t>
      </w:r>
      <w:r w:rsidRPr="003F39CE">
        <w:rPr>
          <w:rFonts w:ascii="Times New Roman" w:hAnsi="Times New Roman" w:cs="Times New Roman"/>
          <w:szCs w:val="24"/>
          <w:u w:val="single"/>
        </w:rPr>
        <w:t xml:space="preserve"> District Court for the Western District of Virginia</w:t>
      </w:r>
      <w:r w:rsidRPr="003F39CE">
        <w:rPr>
          <w:rFonts w:ascii="Times New Roman" w:eastAsia="Times New Roman" w:hAnsi="Times New Roman" w:cs="Times New Roman"/>
          <w:szCs w:val="24"/>
          <w:u w:val="single"/>
        </w:rPr>
        <w:t xml:space="preserve"> </w:t>
      </w:r>
      <w:r w:rsidRPr="003F39CE">
        <w:rPr>
          <w:rFonts w:ascii="Times New Roman" w:eastAsia="Times New Roman" w:hAnsi="Times New Roman" w:cs="Times New Roman"/>
          <w:szCs w:val="24"/>
          <w:u w:val="single"/>
        </w:rPr>
        <w:t xml:space="preserve"> </w:t>
      </w:r>
    </w:p>
    <w:p w14:paraId="312AB114" w14:textId="77777777" w:rsidR="00005F3A" w:rsidRPr="00005F3A" w:rsidRDefault="005D2842" w:rsidP="00000A3D">
      <w:pPr>
        <w:ind w:firstLine="720"/>
        <w:rPr>
          <w:rFonts w:ascii="Times New Roman" w:hAnsi="Times New Roman" w:cs="Times New Roman"/>
          <w:szCs w:val="24"/>
        </w:rPr>
      </w:pPr>
    </w:p>
    <w:p w14:paraId="4DD80DD4" w14:textId="77777777" w:rsidR="00000A3D" w:rsidRPr="00005F3A" w:rsidRDefault="005D2842" w:rsidP="00000A3D">
      <w:pPr>
        <w:ind w:firstLine="720"/>
        <w:rPr>
          <w:rFonts w:ascii="Times New Roman" w:eastAsia="Times New Roman" w:hAnsi="Times New Roman" w:cs="Times New Roman"/>
          <w:szCs w:val="24"/>
        </w:rPr>
      </w:pPr>
      <w:r w:rsidRPr="00005F3A">
        <w:rPr>
          <w:rFonts w:ascii="Times New Roman" w:hAnsi="Times New Roman" w:cs="Times New Roman"/>
          <w:szCs w:val="24"/>
        </w:rPr>
        <w:t xml:space="preserve">A recent decision from the Western District of Virginia helped illustrate the </w:t>
      </w:r>
      <w:r>
        <w:rPr>
          <w:rFonts w:ascii="Times New Roman" w:hAnsi="Times New Roman" w:cs="Times New Roman"/>
          <w:szCs w:val="24"/>
        </w:rPr>
        <w:t xml:space="preserve">strategic importance </w:t>
      </w:r>
      <w:r w:rsidRPr="00005F3A">
        <w:rPr>
          <w:rFonts w:ascii="Times New Roman" w:hAnsi="Times New Roman" w:cs="Times New Roman"/>
          <w:szCs w:val="24"/>
        </w:rPr>
        <w:t>of life care plans</w:t>
      </w:r>
      <w:r>
        <w:rPr>
          <w:rFonts w:ascii="Times New Roman" w:hAnsi="Times New Roman" w:cs="Times New Roman"/>
          <w:szCs w:val="24"/>
        </w:rPr>
        <w:t xml:space="preserve"> and expert testimony</w:t>
      </w:r>
      <w:r w:rsidRPr="00005F3A">
        <w:rPr>
          <w:rFonts w:ascii="Times New Roman" w:hAnsi="Times New Roman" w:cs="Times New Roman"/>
          <w:szCs w:val="24"/>
        </w:rPr>
        <w:t xml:space="preserve"> in litigation. In </w:t>
      </w:r>
      <w:hyperlink r:id="rId8" w:history="1">
        <w:r w:rsidRPr="00005F3A">
          <w:rPr>
            <w:rStyle w:val="Hyperlink"/>
            <w:rFonts w:ascii="Times New Roman" w:hAnsi="Times New Roman" w:cs="Times New Roman"/>
            <w:color w:val="auto"/>
            <w:szCs w:val="24"/>
            <w:bdr w:val="none" w:sz="0" w:space="0" w:color="auto" w:frame="1"/>
            <w:shd w:val="clear" w:color="auto" w:fill="FFFFFF"/>
          </w:rPr>
          <w:t>Boden v. United States</w:t>
        </w:r>
        <w:r w:rsidRPr="00005F3A">
          <w:rPr>
            <w:rStyle w:val="Hyperlink"/>
            <w:rFonts w:ascii="Times New Roman" w:hAnsi="Times New Roman" w:cs="Times New Roman"/>
            <w:color w:val="auto"/>
            <w:szCs w:val="24"/>
            <w:u w:val="none"/>
            <w:bdr w:val="none" w:sz="0" w:space="0" w:color="auto" w:frame="1"/>
            <w:shd w:val="clear" w:color="auto" w:fill="FFFFFF"/>
          </w:rPr>
          <w:t>,</w:t>
        </w:r>
      </w:hyperlink>
      <w:r w:rsidRPr="00005F3A">
        <w:rPr>
          <w:rStyle w:val="Hyperlink"/>
          <w:rFonts w:ascii="Times New Roman" w:hAnsi="Times New Roman" w:cs="Times New Roman"/>
          <w:color w:val="auto"/>
          <w:szCs w:val="24"/>
          <w:u w:val="none"/>
          <w:bdr w:val="none" w:sz="0" w:space="0" w:color="auto" w:frame="1"/>
          <w:shd w:val="clear" w:color="auto" w:fill="FFFFFF"/>
        </w:rPr>
        <w:t xml:space="preserve"> </w:t>
      </w:r>
      <w:r w:rsidRPr="00005F3A">
        <w:rPr>
          <w:rFonts w:ascii="Times New Roman" w:hAnsi="Times New Roman" w:cs="Times New Roman"/>
          <w:szCs w:val="24"/>
        </w:rPr>
        <w:t>a case brought under the Federal Tort Claims Act, the Plaintiff alleged a podiatrist practicing at the Veteran Af</w:t>
      </w:r>
      <w:r w:rsidRPr="00005F3A">
        <w:rPr>
          <w:rFonts w:ascii="Times New Roman" w:hAnsi="Times New Roman" w:cs="Times New Roman"/>
          <w:szCs w:val="24"/>
        </w:rPr>
        <w:t>fairs Medical Center acted negligently.</w:t>
      </w:r>
      <w:r>
        <w:rPr>
          <w:rStyle w:val="FootnoteReference"/>
          <w:rFonts w:ascii="Times New Roman" w:hAnsi="Times New Roman" w:cs="Times New Roman"/>
          <w:szCs w:val="24"/>
        </w:rPr>
        <w:footnoteReference w:id="4"/>
      </w:r>
      <w:r>
        <w:rPr>
          <w:rFonts w:ascii="Times New Roman" w:hAnsi="Times New Roman" w:cs="Times New Roman"/>
          <w:szCs w:val="24"/>
        </w:rPr>
        <w:t xml:space="preserve"> </w:t>
      </w:r>
      <w:r w:rsidRPr="00005F3A">
        <w:rPr>
          <w:rFonts w:ascii="Times New Roman" w:hAnsi="Times New Roman" w:cs="Times New Roman"/>
          <w:szCs w:val="24"/>
        </w:rPr>
        <w:t xml:space="preserve">Plaintiff Boden filed several </w:t>
      </w:r>
      <w:r>
        <w:rPr>
          <w:rFonts w:ascii="Times New Roman" w:hAnsi="Times New Roman" w:cs="Times New Roman"/>
          <w:szCs w:val="24"/>
        </w:rPr>
        <w:t>m</w:t>
      </w:r>
      <w:r w:rsidRPr="00005F3A">
        <w:rPr>
          <w:rFonts w:ascii="Times New Roman" w:hAnsi="Times New Roman" w:cs="Times New Roman"/>
          <w:szCs w:val="24"/>
        </w:rPr>
        <w:t xml:space="preserve">otions in </w:t>
      </w:r>
      <w:r>
        <w:rPr>
          <w:rFonts w:ascii="Times New Roman" w:hAnsi="Times New Roman" w:cs="Times New Roman"/>
          <w:szCs w:val="24"/>
        </w:rPr>
        <w:t>l</w:t>
      </w:r>
      <w:r w:rsidRPr="00005F3A">
        <w:rPr>
          <w:rFonts w:ascii="Times New Roman" w:hAnsi="Times New Roman" w:cs="Times New Roman"/>
          <w:szCs w:val="24"/>
        </w:rPr>
        <w:t>imine to exclude the Government’s expert witness regarding a life care plan and evidence of emails to a treating physician. Before trial, Plaintiff retained a doctor to create a life care plan for his projected future medical needs. The Government retained</w:t>
      </w:r>
      <w:r w:rsidRPr="00005F3A">
        <w:rPr>
          <w:rFonts w:ascii="Times New Roman" w:hAnsi="Times New Roman" w:cs="Times New Roman"/>
          <w:szCs w:val="24"/>
        </w:rPr>
        <w:t xml:space="preserve"> Susan Wirt, a registered nurse and certified life care planner to complete a report rebutting Plaintiff’s expert. Wirt’s report critiqued Plaintiff’s expert in several significant areas. Specifically, </w:t>
      </w:r>
      <w:r w:rsidRPr="00005F3A">
        <w:rPr>
          <w:rFonts w:ascii="Times New Roman" w:hAnsi="Times New Roman" w:cs="Times New Roman"/>
          <w:szCs w:val="24"/>
        </w:rPr>
        <w:t xml:space="preserve">the Court opined that </w:t>
      </w:r>
      <w:r w:rsidRPr="00005F3A">
        <w:rPr>
          <w:rFonts w:ascii="Times New Roman" w:hAnsi="Times New Roman" w:cs="Times New Roman"/>
          <w:szCs w:val="24"/>
        </w:rPr>
        <w:t xml:space="preserve">Wirt’s report </w:t>
      </w:r>
      <w:r w:rsidRPr="00005F3A">
        <w:rPr>
          <w:rFonts w:ascii="Times New Roman" w:hAnsi="Times New Roman" w:cs="Times New Roman"/>
          <w:szCs w:val="24"/>
        </w:rPr>
        <w:t>showed:</w:t>
      </w:r>
    </w:p>
    <w:p w14:paraId="74975561" w14:textId="77777777" w:rsidR="00000A3D" w:rsidRPr="00005F3A" w:rsidRDefault="005D2842" w:rsidP="00000A3D">
      <w:pPr>
        <w:pStyle w:val="NormalWeb"/>
        <w:shd w:val="clear" w:color="auto" w:fill="FFFFFF"/>
        <w:spacing w:before="0" w:beforeAutospacing="0" w:after="0" w:afterAutospacing="0"/>
        <w:ind w:left="1440" w:firstLine="720"/>
        <w:textAlignment w:val="baseline"/>
      </w:pPr>
      <w:r w:rsidRPr="00005F3A">
        <w:lastRenderedPageBreak/>
        <w:t>• </w:t>
      </w:r>
      <w:r w:rsidRPr="00005F3A">
        <w:rPr>
          <w:rStyle w:val="ssun"/>
          <w:bdr w:val="none" w:sz="0" w:space="0" w:color="auto" w:frame="1"/>
        </w:rPr>
        <w:t>Mobility</w:t>
      </w:r>
      <w:r w:rsidRPr="00005F3A">
        <w:rPr>
          <w:rStyle w:val="ssun"/>
          <w:bdr w:val="none" w:sz="0" w:space="0" w:color="auto" w:frame="1"/>
        </w:rPr>
        <w:t xml:space="preserve"> Equipment</w:t>
      </w:r>
      <w:r w:rsidRPr="00005F3A">
        <w:t>: Wirt agrees that Boden will require a scooter or other mobility device. However, Wirt disagrees that Boden requires a scooter lift for his car. Wirt identifies that there are numerous lightweight scooters than can be broken down into several sm</w:t>
      </w:r>
      <w:r w:rsidRPr="00005F3A">
        <w:t>aller components.</w:t>
      </w:r>
    </w:p>
    <w:p w14:paraId="6CB3627F" w14:textId="77777777" w:rsidR="00000A3D" w:rsidRPr="00005F3A" w:rsidRDefault="005D2842" w:rsidP="00000A3D">
      <w:pPr>
        <w:pStyle w:val="NormalWeb"/>
        <w:shd w:val="clear" w:color="auto" w:fill="FFFFFF"/>
        <w:spacing w:before="0" w:beforeAutospacing="0" w:after="0" w:afterAutospacing="0"/>
        <w:textAlignment w:val="baseline"/>
      </w:pPr>
    </w:p>
    <w:p w14:paraId="38D69082" w14:textId="77777777" w:rsidR="00000A3D" w:rsidRPr="00005F3A" w:rsidRDefault="005D2842" w:rsidP="00000A3D">
      <w:pPr>
        <w:pStyle w:val="NormalWeb"/>
        <w:shd w:val="clear" w:color="auto" w:fill="FFFFFF"/>
        <w:spacing w:before="0" w:beforeAutospacing="0" w:after="0" w:afterAutospacing="0"/>
        <w:ind w:left="1440" w:firstLine="720"/>
        <w:textAlignment w:val="baseline"/>
      </w:pPr>
      <w:r w:rsidRPr="00005F3A">
        <w:t>• </w:t>
      </w:r>
      <w:r w:rsidRPr="00005F3A">
        <w:rPr>
          <w:rStyle w:val="ssun"/>
          <w:bdr w:val="none" w:sz="0" w:space="0" w:color="auto" w:frame="1"/>
        </w:rPr>
        <w:t>Bathing</w:t>
      </w:r>
      <w:r w:rsidRPr="00005F3A">
        <w:t>: Wirt acknowledges that Boden will need a bench or chair for his shower. However, Wirt points out that Boden already has a shower chair that will need to be replaced periodically.</w:t>
      </w:r>
    </w:p>
    <w:p w14:paraId="1A729422" w14:textId="77777777" w:rsidR="00000A3D" w:rsidRPr="00005F3A" w:rsidRDefault="005D2842" w:rsidP="00000A3D">
      <w:pPr>
        <w:pStyle w:val="NormalWeb"/>
        <w:shd w:val="clear" w:color="auto" w:fill="FFFFFF"/>
        <w:spacing w:before="0" w:beforeAutospacing="0" w:after="0" w:afterAutospacing="0"/>
        <w:textAlignment w:val="baseline"/>
      </w:pPr>
    </w:p>
    <w:p w14:paraId="38A9AC13" w14:textId="77777777" w:rsidR="00000A3D" w:rsidRPr="00005F3A" w:rsidRDefault="005D2842" w:rsidP="00000A3D">
      <w:pPr>
        <w:pStyle w:val="NormalWeb"/>
        <w:shd w:val="clear" w:color="auto" w:fill="FFFFFF"/>
        <w:spacing w:before="0" w:beforeAutospacing="0" w:after="0" w:afterAutospacing="0"/>
        <w:ind w:left="1440" w:firstLine="720"/>
        <w:textAlignment w:val="baseline"/>
      </w:pPr>
      <w:r w:rsidRPr="00005F3A">
        <w:t>• </w:t>
      </w:r>
      <w:r w:rsidRPr="00005F3A">
        <w:rPr>
          <w:rStyle w:val="ssun"/>
          <w:bdr w:val="none" w:sz="0" w:space="0" w:color="auto" w:frame="1"/>
        </w:rPr>
        <w:t>Home Modifications</w:t>
      </w:r>
      <w:r w:rsidRPr="00005F3A">
        <w:t>: Wirt acknowledges that B</w:t>
      </w:r>
      <w:r w:rsidRPr="00005F3A">
        <w:t>oden will require a grab rail in his shower. However, Wirt points out that Boden already has a grab rail in his shower, and one should not be included in his life-care plan.</w:t>
      </w:r>
    </w:p>
    <w:p w14:paraId="603B38EE" w14:textId="77777777" w:rsidR="00000A3D" w:rsidRPr="00005F3A" w:rsidRDefault="005D2842" w:rsidP="00000A3D">
      <w:pPr>
        <w:pStyle w:val="NormalWeb"/>
        <w:shd w:val="clear" w:color="auto" w:fill="FFFFFF"/>
        <w:spacing w:before="0" w:beforeAutospacing="0" w:after="0" w:afterAutospacing="0"/>
        <w:textAlignment w:val="baseline"/>
      </w:pPr>
    </w:p>
    <w:p w14:paraId="5B03EF1B" w14:textId="77777777" w:rsidR="00000A3D" w:rsidRPr="00005F3A" w:rsidRDefault="005D2842" w:rsidP="00000A3D">
      <w:pPr>
        <w:pStyle w:val="NormalWeb"/>
        <w:shd w:val="clear" w:color="auto" w:fill="FFFFFF"/>
        <w:spacing w:before="0" w:beforeAutospacing="0" w:after="0" w:afterAutospacing="0"/>
        <w:ind w:left="1440" w:firstLine="720"/>
        <w:textAlignment w:val="baseline"/>
      </w:pPr>
      <w:r w:rsidRPr="00005F3A">
        <w:t>• </w:t>
      </w:r>
      <w:r w:rsidRPr="00005F3A">
        <w:rPr>
          <w:rStyle w:val="ssun"/>
          <w:bdr w:val="none" w:sz="0" w:space="0" w:color="auto" w:frame="1"/>
        </w:rPr>
        <w:t>Support Care</w:t>
      </w:r>
      <w:r w:rsidRPr="00005F3A">
        <w:t>: Wirt disagrees with Dr. Lichtblau [Plaintiff’s Expert] that Boden</w:t>
      </w:r>
      <w:r w:rsidRPr="00005F3A">
        <w:t xml:space="preserve"> will require aide and attendant care at the level detailed in his report. Wirt asserts that there is no medical evidence that Boden cannot independently complete his activities of daily living.</w:t>
      </w:r>
      <w:r>
        <w:t xml:space="preserve"> </w:t>
      </w:r>
      <w:r>
        <w:rPr>
          <w:rStyle w:val="FootnoteReference"/>
        </w:rPr>
        <w:footnoteReference w:id="5"/>
      </w:r>
      <w:r>
        <w:t xml:space="preserve"> </w:t>
      </w:r>
    </w:p>
    <w:p w14:paraId="40F8C72F" w14:textId="77777777" w:rsidR="00000A3D" w:rsidRPr="00005F3A" w:rsidRDefault="005D2842" w:rsidP="00000A3D">
      <w:pPr>
        <w:pStyle w:val="NormalWeb"/>
        <w:shd w:val="clear" w:color="auto" w:fill="FFFFFF"/>
        <w:spacing w:before="0" w:beforeAutospacing="0" w:after="0" w:afterAutospacing="0"/>
        <w:ind w:left="1440" w:firstLine="720"/>
        <w:textAlignment w:val="baseline"/>
      </w:pPr>
    </w:p>
    <w:p w14:paraId="22FE30E4" w14:textId="77777777" w:rsidR="00000A3D" w:rsidRPr="00005F3A" w:rsidRDefault="005D2842" w:rsidP="00000A3D">
      <w:pPr>
        <w:ind w:firstLine="720"/>
        <w:rPr>
          <w:rFonts w:ascii="Times New Roman" w:hAnsi="Times New Roman" w:cs="Times New Roman"/>
          <w:szCs w:val="24"/>
          <w:shd w:val="clear" w:color="auto" w:fill="FFFFFF"/>
        </w:rPr>
      </w:pPr>
      <w:r w:rsidRPr="00005F3A">
        <w:rPr>
          <w:rFonts w:ascii="Times New Roman" w:hAnsi="Times New Roman" w:cs="Times New Roman"/>
          <w:szCs w:val="24"/>
          <w:shd w:val="clear" w:color="auto" w:fill="FFFFFF"/>
        </w:rPr>
        <w:t>Discussing the admissibility of Wirt’s testimony, the Co</w:t>
      </w:r>
      <w:r w:rsidRPr="00005F3A">
        <w:rPr>
          <w:rFonts w:ascii="Times New Roman" w:hAnsi="Times New Roman" w:cs="Times New Roman"/>
          <w:szCs w:val="24"/>
          <w:shd w:val="clear" w:color="auto" w:fill="FFFFFF"/>
        </w:rPr>
        <w:t>urt noted that Wirt “based her opinion on over two decades of clinical experience as a registered nurse, a certified case manager, and a life-care planner, as well as her review of the pertinent scientific and medical literature reasonably relied upon by m</w:t>
      </w:r>
      <w:r w:rsidRPr="00005F3A">
        <w:rPr>
          <w:rFonts w:ascii="Times New Roman" w:hAnsi="Times New Roman" w:cs="Times New Roman"/>
          <w:szCs w:val="24"/>
          <w:shd w:val="clear" w:color="auto" w:fill="FFFFFF"/>
        </w:rPr>
        <w:t xml:space="preserve">embers of the life-care planning profession.” </w:t>
      </w:r>
      <w:r>
        <w:rPr>
          <w:rStyle w:val="FootnoteReference"/>
          <w:rFonts w:ascii="Times New Roman" w:hAnsi="Times New Roman" w:cs="Times New Roman"/>
          <w:szCs w:val="24"/>
          <w:shd w:val="clear" w:color="auto" w:fill="FFFFFF"/>
        </w:rPr>
        <w:footnoteReference w:id="6"/>
      </w:r>
    </w:p>
    <w:p w14:paraId="0CA65400" w14:textId="77777777" w:rsidR="00000A3D" w:rsidRPr="00005F3A" w:rsidRDefault="005D2842" w:rsidP="00000A3D">
      <w:pPr>
        <w:ind w:firstLine="720"/>
        <w:rPr>
          <w:rFonts w:ascii="Times New Roman" w:hAnsi="Times New Roman" w:cs="Times New Roman"/>
          <w:szCs w:val="24"/>
          <w:shd w:val="clear" w:color="auto" w:fill="FFFFFF"/>
        </w:rPr>
      </w:pPr>
    </w:p>
    <w:p w14:paraId="63F14E2D" w14:textId="77777777" w:rsidR="00000A3D" w:rsidRPr="00005F3A" w:rsidRDefault="005D2842" w:rsidP="00000A3D">
      <w:pPr>
        <w:ind w:firstLine="720"/>
        <w:rPr>
          <w:rFonts w:ascii="Times New Roman" w:hAnsi="Times New Roman" w:cs="Times New Roman"/>
          <w:szCs w:val="24"/>
        </w:rPr>
      </w:pPr>
      <w:r>
        <w:rPr>
          <w:rFonts w:ascii="Times New Roman" w:hAnsi="Times New Roman" w:cs="Times New Roman"/>
          <w:szCs w:val="24"/>
          <w:shd w:val="clear" w:color="auto" w:fill="FFFFFF"/>
        </w:rPr>
        <w:t xml:space="preserve">Admitting </w:t>
      </w:r>
      <w:r w:rsidRPr="00005F3A">
        <w:rPr>
          <w:rFonts w:ascii="Times New Roman" w:hAnsi="Times New Roman" w:cs="Times New Roman"/>
          <w:szCs w:val="24"/>
          <w:shd w:val="clear" w:color="auto" w:fill="FFFFFF"/>
        </w:rPr>
        <w:t>Wirt’s testimony, t</w:t>
      </w:r>
      <w:r w:rsidRPr="00005F3A">
        <w:rPr>
          <w:rFonts w:ascii="Times New Roman" w:hAnsi="Times New Roman" w:cs="Times New Roman"/>
          <w:szCs w:val="24"/>
          <w:shd w:val="clear" w:color="auto" w:fill="FFFFFF"/>
        </w:rPr>
        <w:t xml:space="preserve">he Court relied on Federal Rule of Evidence 702, </w:t>
      </w:r>
      <w:r w:rsidRPr="00005F3A">
        <w:rPr>
          <w:rFonts w:ascii="Times New Roman" w:hAnsi="Times New Roman" w:cs="Times New Roman"/>
          <w:szCs w:val="24"/>
        </w:rPr>
        <w:t xml:space="preserve">which governs the admissibility of expert testimony. Significantly, on the federal level, the evolution of expert testimony in this field </w:t>
      </w:r>
      <w:r>
        <w:rPr>
          <w:rFonts w:ascii="Times New Roman" w:hAnsi="Times New Roman" w:cs="Times New Roman"/>
          <w:szCs w:val="24"/>
        </w:rPr>
        <w:t>is notable</w:t>
      </w:r>
      <w:r w:rsidRPr="00005F3A">
        <w:rPr>
          <w:rFonts w:ascii="Times New Roman" w:hAnsi="Times New Roman" w:cs="Times New Roman"/>
          <w:szCs w:val="24"/>
        </w:rPr>
        <w:t>. The Court cited</w:t>
      </w:r>
      <w:r w:rsidRPr="00005F3A">
        <w:rPr>
          <w:rFonts w:ascii="Times New Roman" w:hAnsi="Times New Roman" w:cs="Times New Roman"/>
          <w:szCs w:val="24"/>
        </w:rPr>
        <w:t xml:space="preserve"> two monumental cases in this area,</w:t>
      </w:r>
      <w:r w:rsidRPr="00005F3A">
        <w:rPr>
          <w:rFonts w:ascii="Times New Roman" w:hAnsi="Times New Roman" w:cs="Times New Roman"/>
          <w:szCs w:val="24"/>
        </w:rPr>
        <w:t xml:space="preserve"> </w:t>
      </w:r>
      <w:hyperlink r:id="rId9" w:history="1">
        <w:r w:rsidRPr="00005F3A">
          <w:rPr>
            <w:rStyle w:val="ssun"/>
            <w:rFonts w:ascii="Times New Roman" w:hAnsi="Times New Roman" w:cs="Times New Roman"/>
            <w:szCs w:val="24"/>
            <w:u w:val="single"/>
            <w:bdr w:val="none" w:sz="0" w:space="0" w:color="auto" w:frame="1"/>
            <w:shd w:val="clear" w:color="auto" w:fill="FFFFFF"/>
          </w:rPr>
          <w:t>Daubert v. Merrell Dow Pharms</w:t>
        </w:r>
        <w:r w:rsidRPr="00005F3A">
          <w:rPr>
            <w:rStyle w:val="Hyperlink"/>
            <w:rFonts w:ascii="Times New Roman" w:hAnsi="Times New Roman" w:cs="Times New Roman"/>
            <w:color w:val="auto"/>
            <w:szCs w:val="24"/>
            <w:bdr w:val="none" w:sz="0" w:space="0" w:color="auto" w:frame="1"/>
            <w:shd w:val="clear" w:color="auto" w:fill="FFFFFF"/>
          </w:rPr>
          <w:t>. Inc</w:t>
        </w:r>
        <w:r w:rsidRPr="00005F3A">
          <w:rPr>
            <w:rStyle w:val="Hyperlink"/>
            <w:rFonts w:ascii="Times New Roman" w:hAnsi="Times New Roman" w:cs="Times New Roman"/>
            <w:color w:val="auto"/>
            <w:szCs w:val="24"/>
            <w:u w:val="none"/>
            <w:bdr w:val="none" w:sz="0" w:space="0" w:color="auto" w:frame="1"/>
            <w:shd w:val="clear" w:color="auto" w:fill="FFFFFF"/>
          </w:rPr>
          <w:t xml:space="preserve">., </w:t>
        </w:r>
      </w:hyperlink>
      <w:r w:rsidRPr="00005F3A">
        <w:rPr>
          <w:rFonts w:ascii="Times New Roman" w:hAnsi="Times New Roman" w:cs="Times New Roman"/>
          <w:szCs w:val="24"/>
          <w:shd w:val="clear" w:color="auto" w:fill="FFFFFF"/>
        </w:rPr>
        <w:t>and </w:t>
      </w:r>
      <w:hyperlink r:id="rId10" w:history="1">
        <w:r w:rsidRPr="00005F3A">
          <w:rPr>
            <w:rStyle w:val="ssun"/>
            <w:rFonts w:ascii="Times New Roman" w:hAnsi="Times New Roman" w:cs="Times New Roman"/>
            <w:szCs w:val="24"/>
            <w:u w:val="single"/>
            <w:bdr w:val="none" w:sz="0" w:space="0" w:color="auto" w:frame="1"/>
            <w:shd w:val="clear" w:color="auto" w:fill="FFFFFF"/>
          </w:rPr>
          <w:t>Kumho Tire Co., Ltd. v. Carmichael</w:t>
        </w:r>
        <w:r>
          <w:rPr>
            <w:rStyle w:val="ssun"/>
            <w:rFonts w:ascii="Times New Roman" w:hAnsi="Times New Roman" w:cs="Times New Roman"/>
            <w:szCs w:val="24"/>
            <w:u w:val="single"/>
            <w:bdr w:val="none" w:sz="0" w:space="0" w:color="auto" w:frame="1"/>
            <w:shd w:val="clear" w:color="auto" w:fill="FFFFFF"/>
          </w:rPr>
          <w:t xml:space="preserve">. </w:t>
        </w:r>
      </w:hyperlink>
      <w:r w:rsidRPr="00005F3A">
        <w:rPr>
          <w:rStyle w:val="Hyperlink"/>
          <w:rFonts w:ascii="Times New Roman" w:hAnsi="Times New Roman" w:cs="Times New Roman"/>
          <w:color w:val="auto"/>
          <w:szCs w:val="24"/>
          <w:u w:val="none"/>
          <w:bdr w:val="none" w:sz="0" w:space="0" w:color="auto" w:frame="1"/>
          <w:shd w:val="clear" w:color="auto" w:fill="FFFFFF"/>
        </w:rPr>
        <w:t xml:space="preserve"> </w:t>
      </w:r>
      <w:r w:rsidRPr="00005F3A">
        <w:rPr>
          <w:rFonts w:ascii="Times New Roman" w:hAnsi="Times New Roman" w:cs="Times New Roman"/>
          <w:szCs w:val="24"/>
        </w:rPr>
        <w:t xml:space="preserve"> </w:t>
      </w:r>
    </w:p>
    <w:p w14:paraId="3B510DCF" w14:textId="77777777" w:rsidR="00000A3D" w:rsidRPr="00005F3A" w:rsidRDefault="005D2842" w:rsidP="00000A3D">
      <w:pPr>
        <w:pStyle w:val="ListParagraph"/>
        <w:ind w:left="2880"/>
        <w:rPr>
          <w:rStyle w:val="ssrfcpassagedeactivated"/>
          <w:rFonts w:ascii="Times New Roman" w:hAnsi="Times New Roman" w:cs="Times New Roman"/>
          <w:szCs w:val="24"/>
          <w:bdr w:val="none" w:sz="0" w:space="0" w:color="auto" w:frame="1"/>
          <w:shd w:val="clear" w:color="auto" w:fill="FFFFFF"/>
        </w:rPr>
      </w:pPr>
    </w:p>
    <w:p w14:paraId="2F8B8289" w14:textId="77777777" w:rsidR="00D051A1" w:rsidRDefault="005D2842" w:rsidP="00F776EC">
      <w:pPr>
        <w:ind w:firstLine="720"/>
        <w:rPr>
          <w:rStyle w:val="ssrfcpassagedeactivated"/>
          <w:rFonts w:ascii="Times New Roman" w:hAnsi="Times New Roman" w:cs="Times New Roman"/>
          <w:szCs w:val="24"/>
          <w:bdr w:val="none" w:sz="0" w:space="0" w:color="auto" w:frame="1"/>
          <w:shd w:val="clear" w:color="auto" w:fill="FFFFFF"/>
        </w:rPr>
      </w:pPr>
      <w:r w:rsidRPr="00005F3A">
        <w:rPr>
          <w:rStyle w:val="ssrfcpassagedeactivated"/>
          <w:rFonts w:ascii="Times New Roman" w:hAnsi="Times New Roman" w:cs="Times New Roman"/>
          <w:szCs w:val="24"/>
          <w:bdr w:val="none" w:sz="0" w:space="0" w:color="auto" w:frame="1"/>
          <w:shd w:val="clear" w:color="auto" w:fill="FFFFFF"/>
        </w:rPr>
        <w:t>In </w:t>
      </w:r>
      <w:r w:rsidRPr="00F776EC">
        <w:rPr>
          <w:rStyle w:val="ssun"/>
          <w:rFonts w:ascii="Times New Roman" w:hAnsi="Times New Roman" w:cs="Times New Roman"/>
          <w:szCs w:val="24"/>
          <w:u w:val="single"/>
          <w:bdr w:val="none" w:sz="0" w:space="0" w:color="auto" w:frame="1"/>
          <w:shd w:val="clear" w:color="auto" w:fill="FFFFFF"/>
        </w:rPr>
        <w:t>Daubert</w:t>
      </w:r>
      <w:r w:rsidRPr="00005F3A">
        <w:rPr>
          <w:rStyle w:val="ssrfcpassagedeactivated"/>
          <w:rFonts w:ascii="Times New Roman" w:hAnsi="Times New Roman" w:cs="Times New Roman"/>
          <w:szCs w:val="24"/>
          <w:bdr w:val="none" w:sz="0" w:space="0" w:color="auto" w:frame="1"/>
          <w:shd w:val="clear" w:color="auto" w:fill="FFFFFF"/>
        </w:rPr>
        <w:t xml:space="preserve">, the Court explained that the </w:t>
      </w:r>
      <w:r>
        <w:rPr>
          <w:rStyle w:val="ssrfcpassagedeactivated"/>
          <w:rFonts w:ascii="Times New Roman" w:hAnsi="Times New Roman" w:cs="Times New Roman"/>
          <w:szCs w:val="24"/>
          <w:bdr w:val="none" w:sz="0" w:space="0" w:color="auto" w:frame="1"/>
          <w:shd w:val="clear" w:color="auto" w:fill="FFFFFF"/>
        </w:rPr>
        <w:t>“</w:t>
      </w:r>
      <w:r w:rsidRPr="00005F3A">
        <w:rPr>
          <w:rStyle w:val="ssrfcpassagedeactivated"/>
          <w:rFonts w:ascii="Times New Roman" w:hAnsi="Times New Roman" w:cs="Times New Roman"/>
          <w:szCs w:val="24"/>
          <w:bdr w:val="none" w:sz="0" w:space="0" w:color="auto" w:frame="1"/>
          <w:shd w:val="clear" w:color="auto" w:fill="FFFFFF"/>
        </w:rPr>
        <w:t xml:space="preserve">trial judge must </w:t>
      </w:r>
      <w:r>
        <w:rPr>
          <w:rStyle w:val="ssrfcpassagedeactivated"/>
          <w:rFonts w:ascii="Times New Roman" w:hAnsi="Times New Roman" w:cs="Times New Roman"/>
          <w:szCs w:val="24"/>
          <w:bdr w:val="none" w:sz="0" w:space="0" w:color="auto" w:frame="1"/>
          <w:shd w:val="clear" w:color="auto" w:fill="FFFFFF"/>
        </w:rPr>
        <w:t>e</w:t>
      </w:r>
      <w:r w:rsidRPr="00005F3A">
        <w:rPr>
          <w:rStyle w:val="ssrfcpassagedeactivated"/>
          <w:rFonts w:ascii="Times New Roman" w:hAnsi="Times New Roman" w:cs="Times New Roman"/>
          <w:szCs w:val="24"/>
          <w:bdr w:val="none" w:sz="0" w:space="0" w:color="auto" w:frame="1"/>
          <w:shd w:val="clear" w:color="auto" w:fill="FFFFFF"/>
        </w:rPr>
        <w:t xml:space="preserve">nsure that any and all scientific testimony or </w:t>
      </w:r>
      <w:r w:rsidRPr="00005F3A">
        <w:rPr>
          <w:rStyle w:val="ssrfcpassagedeactivated"/>
          <w:rFonts w:ascii="Times New Roman" w:hAnsi="Times New Roman" w:cs="Times New Roman"/>
          <w:szCs w:val="24"/>
          <w:bdr w:val="none" w:sz="0" w:space="0" w:color="auto" w:frame="1"/>
          <w:shd w:val="clear" w:color="auto" w:fill="FFFFFF"/>
        </w:rPr>
        <w:t>evidence admitted is not only relevant, but reliable.</w:t>
      </w:r>
      <w:r>
        <w:rPr>
          <w:rStyle w:val="ssrfcpassagedeactivated"/>
          <w:rFonts w:ascii="Times New Roman" w:hAnsi="Times New Roman" w:cs="Times New Roman"/>
          <w:szCs w:val="24"/>
          <w:bdr w:val="none" w:sz="0" w:space="0" w:color="auto" w:frame="1"/>
          <w:shd w:val="clear" w:color="auto" w:fill="FFFFFF"/>
        </w:rPr>
        <w:t>”</w:t>
      </w:r>
      <w:r>
        <w:rPr>
          <w:rStyle w:val="FootnoteReference"/>
          <w:rFonts w:ascii="Times New Roman" w:hAnsi="Times New Roman" w:cs="Times New Roman"/>
          <w:szCs w:val="24"/>
          <w:bdr w:val="none" w:sz="0" w:space="0" w:color="auto" w:frame="1"/>
          <w:shd w:val="clear" w:color="auto" w:fill="FFFFFF"/>
        </w:rPr>
        <w:footnoteReference w:id="7"/>
      </w:r>
      <w:r w:rsidRPr="00005F3A">
        <w:rPr>
          <w:rStyle w:val="ssrfcpassagedeactivated"/>
          <w:rFonts w:ascii="Times New Roman" w:hAnsi="Times New Roman" w:cs="Times New Roman"/>
          <w:szCs w:val="24"/>
          <w:bdr w:val="none" w:sz="0" w:space="0" w:color="auto" w:frame="1"/>
          <w:shd w:val="clear" w:color="auto" w:fill="FFFFFF"/>
        </w:rPr>
        <w:t xml:space="preserve"> Under Rule 702, </w:t>
      </w:r>
      <w:r>
        <w:rPr>
          <w:rStyle w:val="ssrfcpassagedeactivated"/>
          <w:rFonts w:ascii="Times New Roman" w:hAnsi="Times New Roman" w:cs="Times New Roman"/>
          <w:szCs w:val="24"/>
          <w:bdr w:val="none" w:sz="0" w:space="0" w:color="auto" w:frame="1"/>
          <w:shd w:val="clear" w:color="auto" w:fill="FFFFFF"/>
        </w:rPr>
        <w:t>“</w:t>
      </w:r>
      <w:r w:rsidRPr="00005F3A">
        <w:rPr>
          <w:rStyle w:val="ssrfcpassagedeactivated"/>
          <w:rFonts w:ascii="Times New Roman" w:hAnsi="Times New Roman" w:cs="Times New Roman"/>
          <w:szCs w:val="24"/>
          <w:bdr w:val="none" w:sz="0" w:space="0" w:color="auto" w:frame="1"/>
          <w:shd w:val="clear" w:color="auto" w:fill="FFFFFF"/>
        </w:rPr>
        <w:t>expert testimony which does not relate to any issue in the case is not relevant and, ergo, non-helpful</w:t>
      </w:r>
      <w:r>
        <w:rPr>
          <w:rStyle w:val="ssrfcpassagedeactivated"/>
          <w:rFonts w:ascii="Times New Roman" w:hAnsi="Times New Roman" w:cs="Times New Roman"/>
          <w:szCs w:val="24"/>
          <w:bdr w:val="none" w:sz="0" w:space="0" w:color="auto" w:frame="1"/>
          <w:shd w:val="clear" w:color="auto" w:fill="FFFFFF"/>
        </w:rPr>
        <w:t>”</w:t>
      </w:r>
      <w:r w:rsidRPr="00005F3A">
        <w:rPr>
          <w:rStyle w:val="ssrfcpassagedeactivated"/>
          <w:rFonts w:ascii="Times New Roman" w:hAnsi="Times New Roman" w:cs="Times New Roman"/>
          <w:szCs w:val="24"/>
          <w:bdr w:val="none" w:sz="0" w:space="0" w:color="auto" w:frame="1"/>
          <w:shd w:val="clear" w:color="auto" w:fill="FFFFFF"/>
        </w:rPr>
        <w:t xml:space="preserve"> to the trier of fact. </w:t>
      </w:r>
      <w:r>
        <w:rPr>
          <w:rStyle w:val="FootnoteReference"/>
          <w:rFonts w:ascii="Times New Roman" w:hAnsi="Times New Roman" w:cs="Times New Roman"/>
          <w:szCs w:val="24"/>
          <w:bdr w:val="none" w:sz="0" w:space="0" w:color="auto" w:frame="1"/>
          <w:shd w:val="clear" w:color="auto" w:fill="FFFFFF"/>
        </w:rPr>
        <w:footnoteReference w:id="8"/>
      </w:r>
      <w:r w:rsidRPr="00005F3A">
        <w:rPr>
          <w:rStyle w:val="ssrfcpassagedeactivated"/>
          <w:rFonts w:ascii="Times New Roman" w:hAnsi="Times New Roman" w:cs="Times New Roman"/>
          <w:szCs w:val="24"/>
          <w:bdr w:val="none" w:sz="0" w:space="0" w:color="auto" w:frame="1"/>
          <w:shd w:val="clear" w:color="auto" w:fill="FFFFFF"/>
        </w:rPr>
        <w:t xml:space="preserve"> In </w:t>
      </w:r>
      <w:r w:rsidRPr="00F776EC">
        <w:rPr>
          <w:rStyle w:val="ssun"/>
          <w:rFonts w:ascii="Times New Roman" w:hAnsi="Times New Roman" w:cs="Times New Roman"/>
          <w:szCs w:val="24"/>
          <w:u w:val="single"/>
          <w:bdr w:val="none" w:sz="0" w:space="0" w:color="auto" w:frame="1"/>
          <w:shd w:val="clear" w:color="auto" w:fill="FFFFFF"/>
        </w:rPr>
        <w:t>Kumho Tire</w:t>
      </w:r>
      <w:r w:rsidRPr="00005F3A">
        <w:rPr>
          <w:rStyle w:val="ssrfcpassagedeactivated"/>
          <w:rFonts w:ascii="Times New Roman" w:hAnsi="Times New Roman" w:cs="Times New Roman"/>
          <w:szCs w:val="24"/>
          <w:bdr w:val="none" w:sz="0" w:space="0" w:color="auto" w:frame="1"/>
          <w:shd w:val="clear" w:color="auto" w:fill="FFFFFF"/>
        </w:rPr>
        <w:t>, the Supreme Court made clear that thes</w:t>
      </w:r>
      <w:r w:rsidRPr="00005F3A">
        <w:rPr>
          <w:rStyle w:val="ssrfcpassagedeactivated"/>
          <w:rFonts w:ascii="Times New Roman" w:hAnsi="Times New Roman" w:cs="Times New Roman"/>
          <w:szCs w:val="24"/>
          <w:bdr w:val="none" w:sz="0" w:space="0" w:color="auto" w:frame="1"/>
          <w:shd w:val="clear" w:color="auto" w:fill="FFFFFF"/>
        </w:rPr>
        <w:t>e principles apply to all proposed expert witnesses, including those with specialized knowledge such as Wirt.</w:t>
      </w:r>
      <w:r>
        <w:rPr>
          <w:rStyle w:val="FootnoteReference"/>
          <w:rFonts w:ascii="Times New Roman" w:hAnsi="Times New Roman" w:cs="Times New Roman"/>
          <w:szCs w:val="24"/>
          <w:bdr w:val="none" w:sz="0" w:space="0" w:color="auto" w:frame="1"/>
          <w:shd w:val="clear" w:color="auto" w:fill="FFFFFF"/>
        </w:rPr>
        <w:footnoteReference w:id="9"/>
      </w:r>
    </w:p>
    <w:p w14:paraId="161B8E6D" w14:textId="77777777" w:rsidR="007608E8" w:rsidRDefault="005D2842" w:rsidP="00D051A1">
      <w:pPr>
        <w:rPr>
          <w:rStyle w:val="ssrfcpassagedeactivated"/>
          <w:rFonts w:ascii="Times New Roman" w:hAnsi="Times New Roman" w:cs="Times New Roman"/>
          <w:szCs w:val="24"/>
          <w:bdr w:val="none" w:sz="0" w:space="0" w:color="auto" w:frame="1"/>
          <w:shd w:val="clear" w:color="auto" w:fill="FFFFFF"/>
        </w:rPr>
      </w:pPr>
    </w:p>
    <w:p w14:paraId="3A33981B" w14:textId="77777777" w:rsidR="00902C68" w:rsidRDefault="005D2842" w:rsidP="00D051A1">
      <w:pPr>
        <w:rPr>
          <w:rStyle w:val="ssrfcpassagedeactivated"/>
          <w:rFonts w:ascii="Times New Roman" w:hAnsi="Times New Roman" w:cs="Times New Roman"/>
          <w:szCs w:val="24"/>
          <w:bdr w:val="none" w:sz="0" w:space="0" w:color="auto" w:frame="1"/>
          <w:shd w:val="clear" w:color="auto" w:fill="FFFFFF"/>
        </w:rPr>
      </w:pPr>
      <w:r>
        <w:rPr>
          <w:rStyle w:val="ssrfcpassagedeactivated"/>
          <w:rFonts w:ascii="Times New Roman" w:hAnsi="Times New Roman" w:cs="Times New Roman"/>
          <w:szCs w:val="24"/>
          <w:bdr w:val="none" w:sz="0" w:space="0" w:color="auto" w:frame="1"/>
          <w:shd w:val="clear" w:color="auto" w:fill="FFFFFF"/>
        </w:rPr>
        <w:tab/>
      </w:r>
      <w:r>
        <w:rPr>
          <w:rStyle w:val="ssrfcpassagedeactivated"/>
          <w:rFonts w:ascii="Times New Roman" w:hAnsi="Times New Roman" w:cs="Times New Roman"/>
          <w:szCs w:val="24"/>
          <w:bdr w:val="none" w:sz="0" w:space="0" w:color="auto" w:frame="1"/>
          <w:shd w:val="clear" w:color="auto" w:fill="FFFFFF"/>
        </w:rPr>
        <w:t xml:space="preserve">Courts have </w:t>
      </w:r>
      <w:r>
        <w:rPr>
          <w:rStyle w:val="ssrfcpassagedeactivated"/>
          <w:rFonts w:ascii="Times New Roman" w:hAnsi="Times New Roman" w:cs="Times New Roman"/>
          <w:szCs w:val="24"/>
          <w:bdr w:val="none" w:sz="0" w:space="0" w:color="auto" w:frame="1"/>
          <w:shd w:val="clear" w:color="auto" w:fill="FFFFFF"/>
        </w:rPr>
        <w:t>further opined that, “[t]</w:t>
      </w:r>
      <w:r w:rsidRPr="00005F3A">
        <w:rPr>
          <w:rStyle w:val="ssrfcpassagedeactivated"/>
          <w:rFonts w:ascii="Times New Roman" w:hAnsi="Times New Roman" w:cs="Times New Roman"/>
          <w:szCs w:val="24"/>
          <w:bdr w:val="none" w:sz="0" w:space="0" w:color="auto" w:frame="1"/>
          <w:shd w:val="clear" w:color="auto" w:fill="FFFFFF"/>
        </w:rPr>
        <w:t xml:space="preserve">he question of whether a witness is qualified to testify is context-driven and can only be </w:t>
      </w:r>
      <w:r w:rsidRPr="00005F3A">
        <w:rPr>
          <w:rStyle w:val="ssrfcpassagedeactivated"/>
          <w:rFonts w:ascii="Times New Roman" w:hAnsi="Times New Roman" w:cs="Times New Roman"/>
          <w:szCs w:val="24"/>
          <w:bdr w:val="none" w:sz="0" w:space="0" w:color="auto" w:frame="1"/>
          <w:shd w:val="clear" w:color="auto" w:fill="FFFFFF"/>
        </w:rPr>
        <w:t>determined by the nature of the opinion he offers.</w:t>
      </w:r>
      <w:r w:rsidRPr="00005F3A">
        <w:rPr>
          <w:rStyle w:val="ssrfcpassagedeactivated"/>
          <w:rFonts w:ascii="Times New Roman" w:hAnsi="Times New Roman" w:cs="Times New Roman"/>
          <w:szCs w:val="24"/>
          <w:bdr w:val="none" w:sz="0" w:space="0" w:color="auto" w:frame="1"/>
          <w:shd w:val="clear" w:color="auto" w:fill="FFFFFF"/>
        </w:rPr>
        <w:t>”</w:t>
      </w:r>
      <w:r w:rsidRPr="00005F3A">
        <w:rPr>
          <w:rStyle w:val="ssrfcpassagedeactivated"/>
          <w:rFonts w:ascii="Times New Roman" w:hAnsi="Times New Roman" w:cs="Times New Roman"/>
          <w:szCs w:val="24"/>
          <w:bdr w:val="none" w:sz="0" w:space="0" w:color="auto" w:frame="1"/>
          <w:shd w:val="clear" w:color="auto" w:fill="FFFFFF"/>
        </w:rPr>
        <w:t> </w:t>
      </w:r>
      <w:r>
        <w:rPr>
          <w:rStyle w:val="FootnoteReference"/>
          <w:rFonts w:ascii="Times New Roman" w:hAnsi="Times New Roman" w:cs="Times New Roman"/>
          <w:szCs w:val="24"/>
          <w:bdr w:val="none" w:sz="0" w:space="0" w:color="auto" w:frame="1"/>
          <w:shd w:val="clear" w:color="auto" w:fill="FFFFFF"/>
        </w:rPr>
        <w:footnoteReference w:id="10"/>
      </w:r>
      <w:r>
        <w:rPr>
          <w:rStyle w:val="ssrfcpassagedeactivated"/>
          <w:rFonts w:ascii="Times New Roman" w:hAnsi="Times New Roman" w:cs="Times New Roman"/>
          <w:szCs w:val="24"/>
          <w:bdr w:val="none" w:sz="0" w:space="0" w:color="auto" w:frame="1"/>
          <w:shd w:val="clear" w:color="auto" w:fill="FFFFFF"/>
        </w:rPr>
        <w:t xml:space="preserve"> This evaluation of the expert’s opinion rests with the trial judge’s discretion.</w:t>
      </w:r>
      <w:r>
        <w:rPr>
          <w:rStyle w:val="FootnoteReference"/>
          <w:rFonts w:ascii="Times New Roman" w:hAnsi="Times New Roman" w:cs="Times New Roman"/>
          <w:szCs w:val="24"/>
          <w:bdr w:val="none" w:sz="0" w:space="0" w:color="auto" w:frame="1"/>
          <w:shd w:val="clear" w:color="auto" w:fill="FFFFFF"/>
        </w:rPr>
        <w:footnoteReference w:id="11"/>
      </w:r>
    </w:p>
    <w:p w14:paraId="685F1999" w14:textId="77777777" w:rsidR="00902C68" w:rsidRDefault="005D2842" w:rsidP="00D051A1">
      <w:pPr>
        <w:rPr>
          <w:rStyle w:val="ssrfcpassagedeactivated"/>
          <w:rFonts w:ascii="Times New Roman" w:hAnsi="Times New Roman" w:cs="Times New Roman"/>
          <w:szCs w:val="24"/>
          <w:bdr w:val="none" w:sz="0" w:space="0" w:color="auto" w:frame="1"/>
          <w:shd w:val="clear" w:color="auto" w:fill="FFFFFF"/>
        </w:rPr>
      </w:pPr>
    </w:p>
    <w:p w14:paraId="236601F6" w14:textId="77777777" w:rsidR="00CF25EA" w:rsidRPr="00005F3A" w:rsidRDefault="005D2842" w:rsidP="00902C68">
      <w:pPr>
        <w:ind w:firstLine="720"/>
        <w:rPr>
          <w:rFonts w:ascii="Times New Roman" w:hAnsi="Times New Roman" w:cs="Times New Roman"/>
          <w:szCs w:val="24"/>
          <w:shd w:val="clear" w:color="auto" w:fill="FFFFFF"/>
        </w:rPr>
      </w:pPr>
      <w:r w:rsidRPr="00005F3A">
        <w:rPr>
          <w:rFonts w:ascii="Times New Roman" w:hAnsi="Times New Roman" w:cs="Times New Roman"/>
          <w:szCs w:val="24"/>
        </w:rPr>
        <w:t xml:space="preserve">Using these principles, the Court admitted Wirt’s testimony. The Plaintiff </w:t>
      </w:r>
      <w:r>
        <w:rPr>
          <w:rFonts w:ascii="Times New Roman" w:hAnsi="Times New Roman" w:cs="Times New Roman"/>
          <w:szCs w:val="24"/>
        </w:rPr>
        <w:t xml:space="preserve">further </w:t>
      </w:r>
      <w:r w:rsidRPr="00005F3A">
        <w:rPr>
          <w:rFonts w:ascii="Times New Roman" w:hAnsi="Times New Roman" w:cs="Times New Roman"/>
          <w:szCs w:val="24"/>
        </w:rPr>
        <w:t xml:space="preserve"> questioned whether Wirt’s life </w:t>
      </w:r>
      <w:r>
        <w:rPr>
          <w:rFonts w:ascii="Times New Roman" w:hAnsi="Times New Roman" w:cs="Times New Roman"/>
          <w:szCs w:val="24"/>
        </w:rPr>
        <w:t>c</w:t>
      </w:r>
      <w:r w:rsidRPr="00005F3A">
        <w:rPr>
          <w:rFonts w:ascii="Times New Roman" w:hAnsi="Times New Roman" w:cs="Times New Roman"/>
          <w:szCs w:val="24"/>
        </w:rPr>
        <w:t xml:space="preserve">are plan needed to undergo a physician’s review </w:t>
      </w:r>
      <w:r>
        <w:rPr>
          <w:rFonts w:ascii="Times New Roman" w:hAnsi="Times New Roman" w:cs="Times New Roman"/>
          <w:szCs w:val="24"/>
        </w:rPr>
        <w:t xml:space="preserve">because it was a </w:t>
      </w:r>
      <w:r w:rsidRPr="00005F3A">
        <w:rPr>
          <w:rFonts w:ascii="Times New Roman" w:hAnsi="Times New Roman" w:cs="Times New Roman"/>
          <w:szCs w:val="24"/>
        </w:rPr>
        <w:t xml:space="preserve">federal case involving </w:t>
      </w:r>
      <w:r>
        <w:rPr>
          <w:rFonts w:ascii="Times New Roman" w:hAnsi="Times New Roman" w:cs="Times New Roman"/>
          <w:szCs w:val="24"/>
        </w:rPr>
        <w:t xml:space="preserve">a </w:t>
      </w:r>
      <w:r w:rsidRPr="00005F3A">
        <w:rPr>
          <w:rFonts w:ascii="Times New Roman" w:hAnsi="Times New Roman" w:cs="Times New Roman"/>
          <w:szCs w:val="24"/>
        </w:rPr>
        <w:t xml:space="preserve">life </w:t>
      </w:r>
      <w:r>
        <w:rPr>
          <w:rFonts w:ascii="Times New Roman" w:hAnsi="Times New Roman" w:cs="Times New Roman"/>
          <w:szCs w:val="24"/>
        </w:rPr>
        <w:t>c</w:t>
      </w:r>
      <w:r w:rsidRPr="00005F3A">
        <w:rPr>
          <w:rFonts w:ascii="Times New Roman" w:hAnsi="Times New Roman" w:cs="Times New Roman"/>
          <w:szCs w:val="24"/>
        </w:rPr>
        <w:t>are plan</w:t>
      </w:r>
      <w:r>
        <w:rPr>
          <w:rFonts w:ascii="Times New Roman" w:hAnsi="Times New Roman" w:cs="Times New Roman"/>
          <w:szCs w:val="24"/>
        </w:rPr>
        <w:t xml:space="preserve">. </w:t>
      </w:r>
      <w:r>
        <w:rPr>
          <w:rFonts w:ascii="Times New Roman" w:hAnsi="Times New Roman" w:cs="Times New Roman"/>
          <w:szCs w:val="24"/>
          <w:shd w:val="clear" w:color="auto" w:fill="FFFFFF"/>
        </w:rPr>
        <w:t>Rejecting this argument, the Court</w:t>
      </w:r>
      <w:r w:rsidRPr="00005F3A">
        <w:rPr>
          <w:rFonts w:ascii="Times New Roman" w:hAnsi="Times New Roman" w:cs="Times New Roman"/>
          <w:szCs w:val="24"/>
          <w:shd w:val="clear" w:color="auto" w:fill="FFFFFF"/>
        </w:rPr>
        <w:t xml:space="preserve"> </w:t>
      </w:r>
      <w:r w:rsidRPr="00005F3A">
        <w:rPr>
          <w:rFonts w:ascii="Times New Roman" w:hAnsi="Times New Roman" w:cs="Times New Roman"/>
          <w:szCs w:val="24"/>
          <w:shd w:val="clear" w:color="auto" w:fill="FFFFFF"/>
        </w:rPr>
        <w:t xml:space="preserve">held that </w:t>
      </w:r>
      <w:r w:rsidRPr="00005F3A">
        <w:rPr>
          <w:rFonts w:ascii="Times New Roman" w:hAnsi="Times New Roman" w:cs="Times New Roman"/>
          <w:szCs w:val="24"/>
          <w:shd w:val="clear" w:color="auto" w:fill="FFFFFF"/>
        </w:rPr>
        <w:t xml:space="preserve">“courts in this circuit have found that life-care plans can be admissible without a physician review, so </w:t>
      </w:r>
      <w:r w:rsidRPr="00005F3A">
        <w:rPr>
          <w:rFonts w:ascii="Times New Roman" w:hAnsi="Times New Roman" w:cs="Times New Roman"/>
          <w:szCs w:val="24"/>
          <w:shd w:val="clear" w:color="auto" w:fill="FFFFFF"/>
        </w:rPr>
        <w:t>long as they are reliable.”</w:t>
      </w:r>
      <w:r>
        <w:rPr>
          <w:rStyle w:val="FootnoteReference"/>
          <w:rFonts w:ascii="Times New Roman" w:hAnsi="Times New Roman" w:cs="Times New Roman"/>
          <w:szCs w:val="24"/>
          <w:shd w:val="clear" w:color="auto" w:fill="FFFFFF"/>
        </w:rPr>
        <w:footnoteReference w:id="12"/>
      </w:r>
      <w:r>
        <w:rPr>
          <w:rFonts w:ascii="Times New Roman" w:hAnsi="Times New Roman" w:cs="Times New Roman"/>
          <w:szCs w:val="24"/>
          <w:shd w:val="clear" w:color="auto" w:fill="FFFFFF"/>
        </w:rPr>
        <w:t xml:space="preserve"> </w:t>
      </w:r>
    </w:p>
    <w:p w14:paraId="1B660C1E" w14:textId="77777777" w:rsidR="00A126AE" w:rsidRPr="00005F3A" w:rsidRDefault="005D2842" w:rsidP="00CF25EA">
      <w:pPr>
        <w:rPr>
          <w:rFonts w:ascii="Times New Roman" w:hAnsi="Times New Roman" w:cs="Times New Roman"/>
          <w:szCs w:val="24"/>
          <w:shd w:val="clear" w:color="auto" w:fill="FFFFFF"/>
        </w:rPr>
      </w:pPr>
    </w:p>
    <w:p w14:paraId="34EB94E5" w14:textId="77777777" w:rsidR="00000A3D" w:rsidRDefault="005D2842" w:rsidP="00000A3D">
      <w:pPr>
        <w:ind w:firstLine="720"/>
        <w:rPr>
          <w:rStyle w:val="Hyperlink"/>
          <w:rFonts w:ascii="Times New Roman" w:hAnsi="Times New Roman" w:cs="Times New Roman"/>
          <w:color w:val="auto"/>
          <w:szCs w:val="24"/>
          <w:u w:val="none"/>
          <w:bdr w:val="none" w:sz="0" w:space="0" w:color="auto" w:frame="1"/>
          <w:shd w:val="clear" w:color="auto" w:fill="FFFFFF"/>
        </w:rPr>
      </w:pPr>
      <w:r w:rsidRPr="00005F3A">
        <w:rPr>
          <w:rFonts w:ascii="Times New Roman" w:hAnsi="Times New Roman" w:cs="Times New Roman"/>
          <w:szCs w:val="24"/>
        </w:rPr>
        <w:t xml:space="preserve">As a result, it appears that </w:t>
      </w:r>
      <w:r>
        <w:rPr>
          <w:rFonts w:ascii="Times New Roman" w:hAnsi="Times New Roman" w:cs="Times New Roman"/>
          <w:szCs w:val="24"/>
        </w:rPr>
        <w:t xml:space="preserve">a </w:t>
      </w:r>
      <w:r w:rsidRPr="00005F3A">
        <w:rPr>
          <w:rFonts w:ascii="Times New Roman" w:hAnsi="Times New Roman" w:cs="Times New Roman"/>
          <w:szCs w:val="24"/>
        </w:rPr>
        <w:t>life care planner’s methodology and credibility can be more important to a court than necessarily having a physician review a life care plan</w:t>
      </w:r>
      <w:r>
        <w:rPr>
          <w:rFonts w:ascii="Times New Roman" w:hAnsi="Times New Roman" w:cs="Times New Roman"/>
          <w:szCs w:val="24"/>
        </w:rPr>
        <w:t xml:space="preserve">. Often, </w:t>
      </w:r>
      <w:r w:rsidRPr="00005F3A">
        <w:rPr>
          <w:rFonts w:ascii="Times New Roman" w:hAnsi="Times New Roman" w:cs="Times New Roman"/>
          <w:szCs w:val="24"/>
        </w:rPr>
        <w:t>“</w:t>
      </w:r>
      <w:r>
        <w:rPr>
          <w:rFonts w:ascii="Times New Roman" w:hAnsi="Times New Roman" w:cs="Times New Roman"/>
          <w:szCs w:val="24"/>
        </w:rPr>
        <w:t>[c]</w:t>
      </w:r>
      <w:r w:rsidRPr="00005F3A">
        <w:rPr>
          <w:rFonts w:ascii="Times New Roman" w:hAnsi="Times New Roman" w:cs="Times New Roman"/>
          <w:szCs w:val="24"/>
          <w:shd w:val="clear" w:color="auto" w:fill="FFFFFF"/>
        </w:rPr>
        <w:t xml:space="preserve">ourts typically look to what </w:t>
      </w:r>
      <w:r w:rsidRPr="00005F3A">
        <w:rPr>
          <w:rFonts w:ascii="Times New Roman" w:hAnsi="Times New Roman" w:cs="Times New Roman"/>
          <w:szCs w:val="24"/>
          <w:shd w:val="clear" w:color="auto" w:fill="FFFFFF"/>
        </w:rPr>
        <w:t>evidence the life-care planner relied on when developing the life-care plan, including reviewing a patient</w:t>
      </w:r>
      <w:r>
        <w:rPr>
          <w:rFonts w:ascii="Times New Roman" w:hAnsi="Times New Roman" w:cs="Times New Roman"/>
          <w:szCs w:val="24"/>
          <w:shd w:val="clear" w:color="auto" w:fill="FFFFFF"/>
        </w:rPr>
        <w:t>’</w:t>
      </w:r>
      <w:r w:rsidRPr="00005F3A">
        <w:rPr>
          <w:rFonts w:ascii="Times New Roman" w:hAnsi="Times New Roman" w:cs="Times New Roman"/>
          <w:szCs w:val="24"/>
          <w:shd w:val="clear" w:color="auto" w:fill="FFFFFF"/>
        </w:rPr>
        <w:t>s medical records, reviewing depositions of the patient or the patient</w:t>
      </w:r>
      <w:r>
        <w:rPr>
          <w:rFonts w:ascii="Times New Roman" w:hAnsi="Times New Roman" w:cs="Times New Roman"/>
          <w:szCs w:val="24"/>
          <w:shd w:val="clear" w:color="auto" w:fill="FFFFFF"/>
        </w:rPr>
        <w:t>’</w:t>
      </w:r>
      <w:r w:rsidRPr="00005F3A">
        <w:rPr>
          <w:rFonts w:ascii="Times New Roman" w:hAnsi="Times New Roman" w:cs="Times New Roman"/>
          <w:szCs w:val="24"/>
          <w:shd w:val="clear" w:color="auto" w:fill="FFFFFF"/>
        </w:rPr>
        <w:t>s treating physician, meeting with the patient or treating physician, or physi</w:t>
      </w:r>
      <w:r w:rsidRPr="00005F3A">
        <w:rPr>
          <w:rFonts w:ascii="Times New Roman" w:hAnsi="Times New Roman" w:cs="Times New Roman"/>
          <w:szCs w:val="24"/>
          <w:shd w:val="clear" w:color="auto" w:fill="FFFFFF"/>
        </w:rPr>
        <w:t>cally examining the patient.</w:t>
      </w:r>
      <w:r>
        <w:rPr>
          <w:rFonts w:ascii="Times New Roman" w:hAnsi="Times New Roman" w:cs="Times New Roman"/>
          <w:szCs w:val="24"/>
          <w:shd w:val="clear" w:color="auto" w:fill="FFFFFF"/>
        </w:rPr>
        <w:t>”</w:t>
      </w:r>
      <w:r>
        <w:rPr>
          <w:rStyle w:val="FootnoteReference"/>
          <w:rFonts w:ascii="Times New Roman" w:hAnsi="Times New Roman" w:cs="Times New Roman"/>
          <w:szCs w:val="24"/>
          <w:shd w:val="clear" w:color="auto" w:fill="FFFFFF"/>
        </w:rPr>
        <w:footnoteReference w:id="13"/>
      </w:r>
    </w:p>
    <w:p w14:paraId="4CBBDF4C" w14:textId="77777777" w:rsidR="00802B48" w:rsidRDefault="005D2842" w:rsidP="00000A3D">
      <w:pPr>
        <w:ind w:firstLine="720"/>
        <w:rPr>
          <w:rStyle w:val="Hyperlink"/>
          <w:rFonts w:ascii="Times New Roman" w:hAnsi="Times New Roman" w:cs="Times New Roman"/>
          <w:color w:val="auto"/>
          <w:szCs w:val="24"/>
          <w:u w:val="none"/>
          <w:bdr w:val="none" w:sz="0" w:space="0" w:color="auto" w:frame="1"/>
          <w:shd w:val="clear" w:color="auto" w:fill="FFFFFF"/>
        </w:rPr>
      </w:pPr>
    </w:p>
    <w:p w14:paraId="5E7232BC" w14:textId="77777777" w:rsidR="00B609AC" w:rsidRDefault="005D2842" w:rsidP="00B609AC">
      <w:pPr>
        <w:ind w:firstLine="720"/>
        <w:rPr>
          <w:rStyle w:val="fontstyle01"/>
          <w:rFonts w:ascii="Times New Roman" w:hAnsi="Times New Roman" w:cs="Times New Roman"/>
          <w:sz w:val="24"/>
          <w:szCs w:val="24"/>
        </w:rPr>
      </w:pPr>
      <w:r>
        <w:rPr>
          <w:rStyle w:val="Hyperlink"/>
          <w:rFonts w:ascii="Times New Roman" w:hAnsi="Times New Roman" w:cs="Times New Roman"/>
          <w:color w:val="auto"/>
          <w:szCs w:val="24"/>
          <w:u w:val="none"/>
          <w:bdr w:val="none" w:sz="0" w:space="0" w:color="auto" w:frame="1"/>
          <w:shd w:val="clear" w:color="auto" w:fill="FFFFFF"/>
        </w:rPr>
        <w:t>This type of</w:t>
      </w:r>
      <w:r>
        <w:rPr>
          <w:rStyle w:val="Hyperlink"/>
          <w:rFonts w:ascii="Times New Roman" w:hAnsi="Times New Roman" w:cs="Times New Roman"/>
          <w:color w:val="auto"/>
          <w:szCs w:val="24"/>
          <w:u w:val="none"/>
          <w:bdr w:val="none" w:sz="0" w:space="0" w:color="auto" w:frame="1"/>
          <w:shd w:val="clear" w:color="auto" w:fill="FFFFFF"/>
        </w:rPr>
        <w:t xml:space="preserve"> discretionary </w:t>
      </w:r>
      <w:r>
        <w:rPr>
          <w:rStyle w:val="Hyperlink"/>
          <w:rFonts w:ascii="Times New Roman" w:hAnsi="Times New Roman" w:cs="Times New Roman"/>
          <w:color w:val="auto"/>
          <w:szCs w:val="24"/>
          <w:u w:val="none"/>
          <w:bdr w:val="none" w:sz="0" w:space="0" w:color="auto" w:frame="1"/>
          <w:shd w:val="clear" w:color="auto" w:fill="FFFFFF"/>
        </w:rPr>
        <w:t xml:space="preserve">review is similar to those methodologies used in a vocational rehabilitation cases in which an expert is often asked to produce a report noting an individual’s employability, </w:t>
      </w:r>
      <w:r>
        <w:rPr>
          <w:rStyle w:val="Hyperlink"/>
          <w:rFonts w:ascii="Times New Roman" w:hAnsi="Times New Roman" w:cs="Times New Roman"/>
          <w:color w:val="auto"/>
          <w:szCs w:val="24"/>
          <w:u w:val="none"/>
          <w:bdr w:val="none" w:sz="0" w:space="0" w:color="auto" w:frame="1"/>
          <w:shd w:val="clear" w:color="auto" w:fill="FFFFFF"/>
        </w:rPr>
        <w:t>placeability, loss of earning capacity. These</w:t>
      </w:r>
      <w:r>
        <w:rPr>
          <w:rStyle w:val="Hyperlink"/>
          <w:rFonts w:ascii="Times New Roman" w:hAnsi="Times New Roman" w:cs="Times New Roman"/>
          <w:color w:val="auto"/>
          <w:szCs w:val="24"/>
          <w:u w:val="none"/>
          <w:bdr w:val="none" w:sz="0" w:space="0" w:color="auto" w:frame="1"/>
          <w:shd w:val="clear" w:color="auto" w:fill="FFFFFF"/>
        </w:rPr>
        <w:t xml:space="preserve"> special </w:t>
      </w:r>
      <w:r>
        <w:rPr>
          <w:rStyle w:val="Hyperlink"/>
          <w:rFonts w:ascii="Times New Roman" w:hAnsi="Times New Roman" w:cs="Times New Roman"/>
          <w:color w:val="auto"/>
          <w:szCs w:val="24"/>
          <w:u w:val="none"/>
          <w:bdr w:val="none" w:sz="0" w:space="0" w:color="auto" w:frame="1"/>
          <w:shd w:val="clear" w:color="auto" w:fill="FFFFFF"/>
        </w:rPr>
        <w:t>reports include a review of the individual’s education, employment history, age, abilities, transferable skills, physical and psychological limitations, local job market, and any other factors that affe</w:t>
      </w:r>
      <w:r>
        <w:rPr>
          <w:rStyle w:val="Hyperlink"/>
          <w:rFonts w:ascii="Times New Roman" w:hAnsi="Times New Roman" w:cs="Times New Roman"/>
          <w:color w:val="auto"/>
          <w:szCs w:val="24"/>
          <w:u w:val="none"/>
          <w:bdr w:val="none" w:sz="0" w:space="0" w:color="auto" w:frame="1"/>
          <w:shd w:val="clear" w:color="auto" w:fill="FFFFFF"/>
        </w:rPr>
        <w:t xml:space="preserve">ct his employability and earning capacity. Experts often list the </w:t>
      </w:r>
      <w:r>
        <w:rPr>
          <w:rStyle w:val="Hyperlink"/>
          <w:rFonts w:ascii="Times New Roman" w:hAnsi="Times New Roman" w:cs="Times New Roman"/>
          <w:color w:val="auto"/>
          <w:szCs w:val="24"/>
          <w:u w:val="none"/>
          <w:bdr w:val="none" w:sz="0" w:space="0" w:color="auto" w:frame="1"/>
          <w:shd w:val="clear" w:color="auto" w:fill="FFFFFF"/>
        </w:rPr>
        <w:t>documents</w:t>
      </w:r>
      <w:r>
        <w:rPr>
          <w:rStyle w:val="Hyperlink"/>
          <w:rFonts w:ascii="Times New Roman" w:hAnsi="Times New Roman" w:cs="Times New Roman"/>
          <w:color w:val="auto"/>
          <w:szCs w:val="24"/>
          <w:u w:val="none"/>
          <w:bdr w:val="none" w:sz="0" w:space="0" w:color="auto" w:frame="1"/>
          <w:shd w:val="clear" w:color="auto" w:fill="FFFFFF"/>
        </w:rPr>
        <w:t xml:space="preserve"> they reviewed in preparing these reports, including medical records, and most importantly describe their methodology</w:t>
      </w:r>
      <w:r>
        <w:rPr>
          <w:rStyle w:val="Hyperlink"/>
          <w:rFonts w:ascii="Times New Roman" w:hAnsi="Times New Roman" w:cs="Times New Roman"/>
          <w:color w:val="auto"/>
          <w:szCs w:val="24"/>
          <w:u w:val="none"/>
          <w:bdr w:val="none" w:sz="0" w:space="0" w:color="auto" w:frame="1"/>
          <w:shd w:val="clear" w:color="auto" w:fill="FFFFFF"/>
        </w:rPr>
        <w:t xml:space="preserve"> to help gain credibility with the court</w:t>
      </w:r>
      <w:r>
        <w:rPr>
          <w:rStyle w:val="Hyperlink"/>
          <w:rFonts w:ascii="Times New Roman" w:hAnsi="Times New Roman" w:cs="Times New Roman"/>
          <w:color w:val="auto"/>
          <w:szCs w:val="24"/>
          <w:u w:val="none"/>
          <w:bdr w:val="none" w:sz="0" w:space="0" w:color="auto" w:frame="1"/>
          <w:shd w:val="clear" w:color="auto" w:fill="FFFFFF"/>
        </w:rPr>
        <w:t xml:space="preserve">. </w:t>
      </w:r>
    </w:p>
    <w:p w14:paraId="5E11451D" w14:textId="77777777" w:rsidR="00802B48" w:rsidRDefault="005D2842" w:rsidP="00276269">
      <w:pPr>
        <w:ind w:firstLine="720"/>
        <w:rPr>
          <w:rFonts w:ascii="Times New Roman" w:hAnsi="Times New Roman" w:cs="Times New Roman"/>
          <w:szCs w:val="24"/>
        </w:rPr>
      </w:pPr>
    </w:p>
    <w:p w14:paraId="57955C2D" w14:textId="77777777" w:rsidR="00000A3D" w:rsidRPr="00005F3A" w:rsidRDefault="005D2842" w:rsidP="00276269">
      <w:pPr>
        <w:ind w:firstLine="720"/>
        <w:rPr>
          <w:rFonts w:ascii="Times New Roman" w:hAnsi="Times New Roman" w:cs="Times New Roman"/>
          <w:szCs w:val="24"/>
        </w:rPr>
      </w:pPr>
      <w:r>
        <w:rPr>
          <w:rFonts w:ascii="Times New Roman" w:hAnsi="Times New Roman" w:cs="Times New Roman"/>
          <w:szCs w:val="24"/>
        </w:rPr>
        <w:t>Furthermore, i</w:t>
      </w:r>
      <w:r>
        <w:rPr>
          <w:rFonts w:ascii="Times New Roman" w:hAnsi="Times New Roman" w:cs="Times New Roman"/>
          <w:szCs w:val="24"/>
        </w:rPr>
        <w:t>n addi</w:t>
      </w:r>
      <w:r>
        <w:rPr>
          <w:rFonts w:ascii="Times New Roman" w:hAnsi="Times New Roman" w:cs="Times New Roman"/>
          <w:szCs w:val="24"/>
        </w:rPr>
        <w:t>tion to the importan</w:t>
      </w:r>
      <w:r>
        <w:rPr>
          <w:rFonts w:ascii="Times New Roman" w:hAnsi="Times New Roman" w:cs="Times New Roman"/>
          <w:szCs w:val="24"/>
        </w:rPr>
        <w:t xml:space="preserve">ce </w:t>
      </w:r>
      <w:r>
        <w:rPr>
          <w:rFonts w:ascii="Times New Roman" w:hAnsi="Times New Roman" w:cs="Times New Roman"/>
          <w:szCs w:val="24"/>
        </w:rPr>
        <w:t xml:space="preserve">of a detailed methodology, </w:t>
      </w:r>
      <w:r>
        <w:rPr>
          <w:rFonts w:ascii="Times New Roman" w:hAnsi="Times New Roman" w:cs="Times New Roman"/>
          <w:szCs w:val="24"/>
        </w:rPr>
        <w:t xml:space="preserve">courts </w:t>
      </w:r>
      <w:r>
        <w:rPr>
          <w:rFonts w:ascii="Times New Roman" w:hAnsi="Times New Roman" w:cs="Times New Roman"/>
          <w:szCs w:val="24"/>
        </w:rPr>
        <w:t xml:space="preserve">examine the use of the </w:t>
      </w:r>
      <w:r>
        <w:rPr>
          <w:rFonts w:ascii="Times New Roman" w:hAnsi="Times New Roman" w:cs="Times New Roman"/>
          <w:szCs w:val="24"/>
        </w:rPr>
        <w:t xml:space="preserve">expert’s </w:t>
      </w:r>
      <w:r>
        <w:rPr>
          <w:rFonts w:ascii="Times New Roman" w:hAnsi="Times New Roman" w:cs="Times New Roman"/>
          <w:szCs w:val="24"/>
        </w:rPr>
        <w:t xml:space="preserve">testimony in litigation. </w:t>
      </w:r>
      <w:r>
        <w:rPr>
          <w:rFonts w:ascii="Times New Roman" w:hAnsi="Times New Roman" w:cs="Times New Roman"/>
          <w:szCs w:val="24"/>
        </w:rPr>
        <w:t>The Boden Court noted that</w:t>
      </w:r>
      <w:r>
        <w:rPr>
          <w:rFonts w:ascii="Times New Roman" w:hAnsi="Times New Roman" w:cs="Times New Roman"/>
          <w:szCs w:val="24"/>
        </w:rPr>
        <w:t xml:space="preserve"> under those specific circumstances, </w:t>
      </w:r>
      <w:r>
        <w:rPr>
          <w:rFonts w:ascii="Times New Roman" w:hAnsi="Times New Roman" w:cs="Times New Roman"/>
          <w:szCs w:val="24"/>
        </w:rPr>
        <w:t xml:space="preserve">the </w:t>
      </w:r>
      <w:r>
        <w:rPr>
          <w:rFonts w:ascii="Times New Roman" w:hAnsi="Times New Roman" w:cs="Times New Roman"/>
          <w:szCs w:val="24"/>
        </w:rPr>
        <w:t xml:space="preserve">Defendant’s testimony about the life care plan </w:t>
      </w:r>
      <w:r w:rsidRPr="00005F3A">
        <w:rPr>
          <w:rFonts w:ascii="Times New Roman" w:hAnsi="Times New Roman" w:cs="Times New Roman"/>
          <w:szCs w:val="24"/>
        </w:rPr>
        <w:t xml:space="preserve">was not intended to attack </w:t>
      </w:r>
      <w:r w:rsidRPr="00005F3A">
        <w:rPr>
          <w:rFonts w:ascii="Times New Roman" w:hAnsi="Times New Roman" w:cs="Times New Roman"/>
          <w:szCs w:val="24"/>
        </w:rPr>
        <w:t>t</w:t>
      </w:r>
      <w:r w:rsidRPr="00005F3A">
        <w:rPr>
          <w:rFonts w:ascii="Times New Roman" w:hAnsi="Times New Roman" w:cs="Times New Roman"/>
          <w:szCs w:val="24"/>
        </w:rPr>
        <w:t xml:space="preserve">he credibility of </w:t>
      </w:r>
      <w:r w:rsidRPr="00005F3A">
        <w:rPr>
          <w:rFonts w:ascii="Times New Roman" w:hAnsi="Times New Roman" w:cs="Times New Roman"/>
          <w:szCs w:val="24"/>
        </w:rPr>
        <w:t>Plaintiff’s expert</w:t>
      </w:r>
      <w:r w:rsidRPr="00005F3A">
        <w:rPr>
          <w:rFonts w:ascii="Times New Roman" w:hAnsi="Times New Roman" w:cs="Times New Roman"/>
          <w:szCs w:val="24"/>
        </w:rPr>
        <w:t xml:space="preserve">, </w:t>
      </w:r>
      <w:r w:rsidRPr="00005F3A">
        <w:rPr>
          <w:rFonts w:ascii="Times New Roman" w:hAnsi="Times New Roman" w:cs="Times New Roman"/>
          <w:szCs w:val="24"/>
        </w:rPr>
        <w:t>but rather it was offered to rebut the expert’s report.</w:t>
      </w:r>
      <w:r>
        <w:rPr>
          <w:rStyle w:val="FootnoteReference"/>
          <w:rFonts w:ascii="Times New Roman" w:hAnsi="Times New Roman" w:cs="Times New Roman"/>
          <w:szCs w:val="24"/>
        </w:rPr>
        <w:footnoteReference w:id="14"/>
      </w:r>
      <w:r>
        <w:rPr>
          <w:rFonts w:ascii="Times New Roman" w:hAnsi="Times New Roman" w:cs="Times New Roman"/>
          <w:szCs w:val="24"/>
        </w:rPr>
        <w:t xml:space="preserve"> As a result, the Court admitted Wirt’s testimony in the federal case.</w:t>
      </w:r>
      <w:r>
        <w:rPr>
          <w:rFonts w:ascii="Times New Roman" w:hAnsi="Times New Roman" w:cs="Times New Roman"/>
          <w:szCs w:val="24"/>
        </w:rPr>
        <w:t xml:space="preserve"> So how does the treatment of life care planners in federal court compare to state courts? </w:t>
      </w:r>
      <w:r>
        <w:rPr>
          <w:rFonts w:ascii="Times New Roman" w:hAnsi="Times New Roman" w:cs="Times New Roman"/>
          <w:szCs w:val="24"/>
        </w:rPr>
        <w:t xml:space="preserve"> </w:t>
      </w:r>
    </w:p>
    <w:p w14:paraId="17FE00BE" w14:textId="77777777" w:rsidR="00A126AE" w:rsidRPr="00005F3A" w:rsidRDefault="005D2842" w:rsidP="00276269">
      <w:pPr>
        <w:ind w:firstLine="720"/>
        <w:rPr>
          <w:rFonts w:ascii="Times New Roman" w:hAnsi="Times New Roman" w:cs="Times New Roman"/>
          <w:szCs w:val="24"/>
        </w:rPr>
      </w:pPr>
    </w:p>
    <w:p w14:paraId="066F3D10" w14:textId="77777777" w:rsidR="004A7D39" w:rsidRPr="000E3338" w:rsidRDefault="005D2842" w:rsidP="000E3338">
      <w:pPr>
        <w:pStyle w:val="ListParagraph"/>
        <w:numPr>
          <w:ilvl w:val="0"/>
          <w:numId w:val="8"/>
        </w:numPr>
        <w:rPr>
          <w:rFonts w:ascii="Times New Roman" w:hAnsi="Times New Roman" w:cs="Times New Roman"/>
          <w:szCs w:val="24"/>
          <w:u w:val="single"/>
        </w:rPr>
      </w:pPr>
      <w:r w:rsidRPr="000E3338">
        <w:rPr>
          <w:rFonts w:ascii="Times New Roman" w:hAnsi="Times New Roman" w:cs="Times New Roman"/>
          <w:szCs w:val="24"/>
          <w:u w:val="single"/>
        </w:rPr>
        <w:t xml:space="preserve">The </w:t>
      </w:r>
      <w:r w:rsidRPr="000E3338">
        <w:rPr>
          <w:rFonts w:ascii="Times New Roman" w:hAnsi="Times New Roman" w:cs="Times New Roman"/>
          <w:szCs w:val="24"/>
          <w:u w:val="single"/>
        </w:rPr>
        <w:t>A</w:t>
      </w:r>
      <w:r w:rsidRPr="000E3338">
        <w:rPr>
          <w:rFonts w:ascii="Times New Roman" w:hAnsi="Times New Roman" w:cs="Times New Roman"/>
          <w:szCs w:val="24"/>
          <w:u w:val="single"/>
        </w:rPr>
        <w:t xml:space="preserve">dmissibility of </w:t>
      </w:r>
      <w:r w:rsidRPr="000E3338">
        <w:rPr>
          <w:rFonts w:ascii="Times New Roman" w:hAnsi="Times New Roman" w:cs="Times New Roman"/>
          <w:szCs w:val="24"/>
          <w:u w:val="single"/>
        </w:rPr>
        <w:t>E</w:t>
      </w:r>
      <w:r w:rsidRPr="000E3338">
        <w:rPr>
          <w:rFonts w:ascii="Times New Roman" w:hAnsi="Times New Roman" w:cs="Times New Roman"/>
          <w:szCs w:val="24"/>
          <w:u w:val="single"/>
        </w:rPr>
        <w:t xml:space="preserve">xpert </w:t>
      </w:r>
      <w:r w:rsidRPr="000E3338">
        <w:rPr>
          <w:rFonts w:ascii="Times New Roman" w:hAnsi="Times New Roman" w:cs="Times New Roman"/>
          <w:szCs w:val="24"/>
          <w:u w:val="single"/>
        </w:rPr>
        <w:t>W</w:t>
      </w:r>
      <w:r w:rsidRPr="000E3338">
        <w:rPr>
          <w:rFonts w:ascii="Times New Roman" w:hAnsi="Times New Roman" w:cs="Times New Roman"/>
          <w:szCs w:val="24"/>
          <w:u w:val="single"/>
        </w:rPr>
        <w:t xml:space="preserve">itness </w:t>
      </w:r>
      <w:r w:rsidRPr="000E3338">
        <w:rPr>
          <w:rFonts w:ascii="Times New Roman" w:hAnsi="Times New Roman" w:cs="Times New Roman"/>
          <w:szCs w:val="24"/>
          <w:u w:val="single"/>
        </w:rPr>
        <w:t>T</w:t>
      </w:r>
      <w:r w:rsidRPr="000E3338">
        <w:rPr>
          <w:rFonts w:ascii="Times New Roman" w:hAnsi="Times New Roman" w:cs="Times New Roman"/>
          <w:szCs w:val="24"/>
          <w:u w:val="single"/>
        </w:rPr>
        <w:t>estimony in Virginia State Courts</w:t>
      </w:r>
    </w:p>
    <w:p w14:paraId="74863F97" w14:textId="77777777" w:rsidR="00000A3D" w:rsidRPr="00005F3A" w:rsidRDefault="005D2842" w:rsidP="00446ED2">
      <w:pPr>
        <w:ind w:firstLine="720"/>
        <w:rPr>
          <w:rFonts w:ascii="Times New Roman" w:hAnsi="Times New Roman" w:cs="Times New Roman"/>
          <w:szCs w:val="24"/>
        </w:rPr>
      </w:pPr>
    </w:p>
    <w:p w14:paraId="5D426735" w14:textId="77777777" w:rsidR="004A7D39" w:rsidRDefault="005D2842" w:rsidP="004A7D39">
      <w:pPr>
        <w:ind w:firstLine="720"/>
        <w:rPr>
          <w:rFonts w:ascii="Times New Roman" w:hAnsi="Times New Roman" w:cs="Times New Roman"/>
          <w:szCs w:val="24"/>
        </w:rPr>
      </w:pPr>
      <w:r w:rsidRPr="00005F3A">
        <w:rPr>
          <w:rFonts w:ascii="Times New Roman" w:hAnsi="Times New Roman" w:cs="Times New Roman"/>
          <w:szCs w:val="24"/>
        </w:rPr>
        <w:t xml:space="preserve">Virginia State Courts do not adhere to the </w:t>
      </w:r>
      <w:r w:rsidRPr="00005F3A">
        <w:rPr>
          <w:rFonts w:ascii="Times New Roman" w:hAnsi="Times New Roman" w:cs="Times New Roman"/>
          <w:szCs w:val="24"/>
        </w:rPr>
        <w:t xml:space="preserve">Daubert </w:t>
      </w:r>
      <w:r w:rsidRPr="00005F3A">
        <w:rPr>
          <w:rFonts w:ascii="Times New Roman" w:hAnsi="Times New Roman" w:cs="Times New Roman"/>
          <w:szCs w:val="24"/>
        </w:rPr>
        <w:t xml:space="preserve">standard as described above </w:t>
      </w:r>
      <w:r>
        <w:rPr>
          <w:rFonts w:ascii="Times New Roman" w:hAnsi="Times New Roman" w:cs="Times New Roman"/>
          <w:szCs w:val="24"/>
        </w:rPr>
        <w:t xml:space="preserve">and discussed in </w:t>
      </w:r>
      <w:r w:rsidRPr="00177930">
        <w:rPr>
          <w:rFonts w:ascii="Times New Roman" w:hAnsi="Times New Roman" w:cs="Times New Roman"/>
          <w:szCs w:val="24"/>
          <w:u w:val="single"/>
        </w:rPr>
        <w:t>Boden</w:t>
      </w:r>
      <w:r w:rsidRPr="00005F3A">
        <w:rPr>
          <w:rFonts w:ascii="Times New Roman" w:hAnsi="Times New Roman" w:cs="Times New Roman"/>
          <w:szCs w:val="24"/>
        </w:rPr>
        <w:t>.</w:t>
      </w:r>
      <w:r>
        <w:rPr>
          <w:rStyle w:val="FootnoteReference"/>
          <w:rFonts w:ascii="Times New Roman" w:hAnsi="Times New Roman" w:cs="Times New Roman"/>
          <w:szCs w:val="24"/>
        </w:rPr>
        <w:footnoteReference w:id="15"/>
      </w:r>
      <w:r w:rsidRPr="00005F3A">
        <w:rPr>
          <w:rFonts w:ascii="Times New Roman" w:hAnsi="Times New Roman" w:cs="Times New Roman"/>
          <w:szCs w:val="24"/>
        </w:rPr>
        <w:t xml:space="preserve"> As a result, it is important to examine the admissibility of an expert witness in Virginia. As a practical matter, Virginia attorneys</w:t>
      </w:r>
      <w:r>
        <w:rPr>
          <w:rFonts w:ascii="Times New Roman" w:hAnsi="Times New Roman" w:cs="Times New Roman"/>
          <w:szCs w:val="24"/>
        </w:rPr>
        <w:t xml:space="preserve"> involved in a case with a life care planner should always be aware of the life care planner’s experience and credibility.</w:t>
      </w:r>
      <w:r>
        <w:rPr>
          <w:rFonts w:ascii="Times New Roman" w:hAnsi="Times New Roman" w:cs="Times New Roman"/>
          <w:szCs w:val="24"/>
        </w:rPr>
        <w:t xml:space="preserve"> </w:t>
      </w:r>
      <w:r>
        <w:rPr>
          <w:rFonts w:ascii="Times New Roman" w:hAnsi="Times New Roman" w:cs="Times New Roman"/>
          <w:szCs w:val="24"/>
        </w:rPr>
        <w:t xml:space="preserve"> </w:t>
      </w:r>
      <w:r w:rsidRPr="00005F3A">
        <w:rPr>
          <w:rFonts w:ascii="Times New Roman" w:hAnsi="Times New Roman" w:cs="Times New Roman"/>
          <w:szCs w:val="24"/>
        </w:rPr>
        <w:t xml:space="preserve"> </w:t>
      </w:r>
    </w:p>
    <w:p w14:paraId="577E570F" w14:textId="77777777" w:rsidR="002C4CF0" w:rsidRPr="00005F3A" w:rsidRDefault="005D2842" w:rsidP="004A7D39">
      <w:pPr>
        <w:ind w:firstLine="720"/>
        <w:rPr>
          <w:rFonts w:ascii="Times New Roman" w:hAnsi="Times New Roman" w:cs="Times New Roman"/>
          <w:szCs w:val="24"/>
        </w:rPr>
      </w:pPr>
    </w:p>
    <w:p w14:paraId="24DECF7D" w14:textId="77777777" w:rsidR="000A2170" w:rsidRPr="00B609AC" w:rsidRDefault="005D2842" w:rsidP="00B609AC">
      <w:pPr>
        <w:ind w:firstLine="720"/>
        <w:rPr>
          <w:rFonts w:ascii="Times New Roman" w:hAnsi="Times New Roman" w:cs="Times New Roman"/>
          <w:szCs w:val="24"/>
          <w:bdr w:val="none" w:sz="0" w:space="0" w:color="auto" w:frame="1"/>
          <w:shd w:val="clear" w:color="auto" w:fill="FFFFFF"/>
        </w:rPr>
      </w:pPr>
      <w:r>
        <w:rPr>
          <w:rFonts w:ascii="Times New Roman" w:hAnsi="Times New Roman" w:cs="Times New Roman"/>
          <w:szCs w:val="24"/>
        </w:rPr>
        <w:t xml:space="preserve">Generally, in </w:t>
      </w:r>
      <w:r w:rsidRPr="00005F3A">
        <w:rPr>
          <w:rFonts w:ascii="Times New Roman" w:hAnsi="Times New Roman" w:cs="Times New Roman"/>
          <w:szCs w:val="24"/>
        </w:rPr>
        <w:t xml:space="preserve">Virginia </w:t>
      </w:r>
      <w:r w:rsidRPr="00005F3A">
        <w:rPr>
          <w:rFonts w:ascii="Times New Roman" w:hAnsi="Times New Roman" w:cs="Times New Roman"/>
          <w:szCs w:val="24"/>
          <w:shd w:val="clear" w:color="auto" w:fill="FFFFFF"/>
        </w:rPr>
        <w:t>a witness</w:t>
      </w:r>
      <w:r>
        <w:rPr>
          <w:rFonts w:ascii="Times New Roman" w:hAnsi="Times New Roman" w:cs="Times New Roman"/>
          <w:szCs w:val="24"/>
          <w:shd w:val="clear" w:color="auto" w:fill="FFFFFF"/>
        </w:rPr>
        <w:t xml:space="preserve"> who</w:t>
      </w:r>
      <w:r w:rsidRPr="00005F3A">
        <w:rPr>
          <w:rFonts w:ascii="Times New Roman" w:hAnsi="Times New Roman" w:cs="Times New Roman"/>
          <w:szCs w:val="24"/>
          <w:shd w:val="clear" w:color="auto" w:fill="FFFFFF"/>
        </w:rPr>
        <w:t xml:space="preserve"> </w:t>
      </w:r>
      <w:r>
        <w:rPr>
          <w:rFonts w:ascii="Times New Roman" w:hAnsi="Times New Roman" w:cs="Times New Roman"/>
          <w:szCs w:val="24"/>
          <w:shd w:val="clear" w:color="auto" w:fill="FFFFFF"/>
        </w:rPr>
        <w:t xml:space="preserve">qualifies as an expert </w:t>
      </w:r>
      <w:r w:rsidRPr="00005F3A">
        <w:rPr>
          <w:rFonts w:ascii="Times New Roman" w:hAnsi="Times New Roman" w:cs="Times New Roman"/>
          <w:szCs w:val="24"/>
          <w:shd w:val="clear" w:color="auto" w:fill="FFFFFF"/>
        </w:rPr>
        <w:t xml:space="preserve">may testify to opinions based on </w:t>
      </w:r>
      <w:r w:rsidRPr="00005F3A">
        <w:rPr>
          <w:rFonts w:ascii="Times New Roman" w:hAnsi="Times New Roman" w:cs="Times New Roman"/>
          <w:szCs w:val="24"/>
          <w:shd w:val="clear" w:color="auto" w:fill="FFFFFF"/>
        </w:rPr>
        <w:t>“</w:t>
      </w:r>
      <w:r w:rsidRPr="00005F3A">
        <w:rPr>
          <w:rFonts w:ascii="Times New Roman" w:hAnsi="Times New Roman" w:cs="Times New Roman"/>
          <w:szCs w:val="24"/>
          <w:shd w:val="clear" w:color="auto" w:fill="FFFFFF"/>
        </w:rPr>
        <w:t>scientific, technical, or other specialized knowledge</w:t>
      </w:r>
      <w:r w:rsidRPr="00005F3A">
        <w:rPr>
          <w:rFonts w:ascii="Times New Roman" w:hAnsi="Times New Roman" w:cs="Times New Roman"/>
          <w:szCs w:val="24"/>
          <w:shd w:val="clear" w:color="auto" w:fill="FFFFFF"/>
        </w:rPr>
        <w:t xml:space="preserve">” </w:t>
      </w:r>
      <w:r w:rsidRPr="00005F3A">
        <w:rPr>
          <w:rFonts w:ascii="Times New Roman" w:hAnsi="Times New Roman" w:cs="Times New Roman"/>
          <w:szCs w:val="24"/>
          <w:shd w:val="clear" w:color="auto" w:fill="FFFFFF"/>
        </w:rPr>
        <w:t>if that testimony will assist the trier of fact in a civil proceeding.</w:t>
      </w:r>
      <w:r>
        <w:rPr>
          <w:rStyle w:val="FootnoteReference"/>
          <w:rFonts w:ascii="Times New Roman" w:hAnsi="Times New Roman" w:cs="Times New Roman"/>
          <w:szCs w:val="24"/>
          <w:shd w:val="clear" w:color="auto" w:fill="FFFFFF"/>
        </w:rPr>
        <w:footnoteReference w:id="16"/>
      </w:r>
      <w:r w:rsidRPr="00005F3A">
        <w:rPr>
          <w:rFonts w:ascii="Times New Roman" w:hAnsi="Times New Roman" w:cs="Times New Roman"/>
          <w:szCs w:val="24"/>
          <w:shd w:val="clear" w:color="auto" w:fill="FFFFFF"/>
        </w:rPr>
        <w:t xml:space="preserve"> </w:t>
      </w:r>
      <w:r w:rsidRPr="00005F3A">
        <w:rPr>
          <w:rFonts w:ascii="Times New Roman" w:hAnsi="Times New Roman" w:cs="Times New Roman"/>
          <w:szCs w:val="24"/>
        </w:rPr>
        <w:t>When such “</w:t>
      </w:r>
      <w:r w:rsidRPr="00005F3A">
        <w:rPr>
          <w:rStyle w:val="ssrfcpassagedeactivated"/>
          <w:rFonts w:ascii="Times New Roman" w:hAnsi="Times New Roman" w:cs="Times New Roman"/>
          <w:szCs w:val="24"/>
          <w:bdr w:val="none" w:sz="0" w:space="0" w:color="auto" w:frame="1"/>
        </w:rPr>
        <w:t>scientific evidence is offered, the court must make a threshold finding of fact with respect to the reliability of the scientific method offered, unless it is of a kind so familiar and accepted as to require no foundation to establish the fundamental relia</w:t>
      </w:r>
      <w:r w:rsidRPr="00005F3A">
        <w:rPr>
          <w:rStyle w:val="ssrfcpassagedeactivated"/>
          <w:rFonts w:ascii="Times New Roman" w:hAnsi="Times New Roman" w:cs="Times New Roman"/>
          <w:szCs w:val="24"/>
          <w:bdr w:val="none" w:sz="0" w:space="0" w:color="auto" w:frame="1"/>
        </w:rPr>
        <w:t>bility of the system, such as fingerprint analysis; or unless it is so unreliable that the considerations requiring its exclusion have ripened into rules of law, such as 'lie-detector' tests; or unless its admission is regulated by statute, such as blood-a</w:t>
      </w:r>
      <w:r w:rsidRPr="00005F3A">
        <w:rPr>
          <w:rStyle w:val="ssrfcpassagedeactivated"/>
          <w:rFonts w:ascii="Times New Roman" w:hAnsi="Times New Roman" w:cs="Times New Roman"/>
          <w:szCs w:val="24"/>
          <w:bdr w:val="none" w:sz="0" w:space="0" w:color="auto" w:frame="1"/>
        </w:rPr>
        <w:t>lcohol test results.</w:t>
      </w:r>
      <w:r w:rsidRPr="00005F3A">
        <w:rPr>
          <w:rStyle w:val="ssrfcpassagedeactivated"/>
          <w:rFonts w:ascii="Times New Roman" w:hAnsi="Times New Roman" w:cs="Times New Roman"/>
          <w:szCs w:val="24"/>
          <w:bdr w:val="none" w:sz="0" w:space="0" w:color="auto" w:frame="1"/>
        </w:rPr>
        <w:t>”</w:t>
      </w:r>
      <w:r w:rsidRPr="00005F3A">
        <w:rPr>
          <w:rStyle w:val="ssrfcpassagedeactivated"/>
          <w:rFonts w:ascii="Times New Roman" w:hAnsi="Times New Roman" w:cs="Times New Roman"/>
          <w:szCs w:val="24"/>
          <w:bdr w:val="none" w:sz="0" w:space="0" w:color="auto" w:frame="1"/>
        </w:rPr>
        <w:t xml:space="preserve"> </w:t>
      </w:r>
      <w:r>
        <w:rPr>
          <w:rStyle w:val="FootnoteReference"/>
          <w:rFonts w:ascii="Times New Roman" w:hAnsi="Times New Roman" w:cs="Times New Roman"/>
          <w:szCs w:val="24"/>
          <w:bdr w:val="none" w:sz="0" w:space="0" w:color="auto" w:frame="1"/>
        </w:rPr>
        <w:footnoteReference w:id="17"/>
      </w:r>
      <w:r>
        <w:rPr>
          <w:rStyle w:val="ssrfcpassagedeactivated"/>
          <w:rFonts w:ascii="Times New Roman" w:hAnsi="Times New Roman" w:cs="Times New Roman"/>
          <w:szCs w:val="24"/>
          <w:bdr w:val="none" w:sz="0" w:space="0" w:color="auto" w:frame="1"/>
        </w:rPr>
        <w:t xml:space="preserve"> </w:t>
      </w:r>
      <w:r>
        <w:rPr>
          <w:rStyle w:val="ssrfcpassagedeactivated"/>
          <w:rFonts w:ascii="Times New Roman" w:hAnsi="Times New Roman" w:cs="Times New Roman"/>
          <w:szCs w:val="24"/>
          <w:bdr w:val="none" w:sz="0" w:space="0" w:color="auto" w:frame="1"/>
          <w:shd w:val="clear" w:color="auto" w:fill="FFFFFF"/>
        </w:rPr>
        <w:t xml:space="preserve"> </w:t>
      </w:r>
      <w:r w:rsidRPr="00005F3A">
        <w:rPr>
          <w:rStyle w:val="ssrfcpassagedeactivated"/>
          <w:rFonts w:ascii="Times New Roman" w:hAnsi="Times New Roman" w:cs="Times New Roman"/>
          <w:szCs w:val="24"/>
          <w:bdr w:val="none" w:sz="0" w:space="0" w:color="auto" w:frame="1"/>
          <w:shd w:val="clear" w:color="auto" w:fill="FFFFFF"/>
        </w:rPr>
        <w:t xml:space="preserve">Additionally, </w:t>
      </w:r>
      <w:r w:rsidRPr="00005F3A">
        <w:rPr>
          <w:rStyle w:val="ssrfcpassagedeactivated"/>
          <w:rFonts w:ascii="Times New Roman" w:hAnsi="Times New Roman" w:cs="Times New Roman"/>
          <w:szCs w:val="24"/>
          <w:bdr w:val="none" w:sz="0" w:space="0" w:color="auto" w:frame="1"/>
          <w:shd w:val="clear" w:color="auto" w:fill="FFFFFF"/>
        </w:rPr>
        <w:t>“[w]</w:t>
      </w:r>
      <w:r w:rsidRPr="00005F3A">
        <w:rPr>
          <w:rFonts w:ascii="Times New Roman" w:hAnsi="Times New Roman" w:cs="Times New Roman"/>
          <w:szCs w:val="24"/>
          <w:shd w:val="clear" w:color="auto" w:fill="FFFFFF"/>
        </w:rPr>
        <w:t>hen a litigant claims that a particular scientific, technical or other specialized theory or technique is valid, there must be some basis for determining the validity of the proffered theory or technique.</w:t>
      </w:r>
      <w:r>
        <w:rPr>
          <w:rFonts w:ascii="Times New Roman" w:hAnsi="Times New Roman" w:cs="Times New Roman"/>
          <w:szCs w:val="24"/>
          <w:shd w:val="clear" w:color="auto" w:fill="FFFFFF"/>
        </w:rPr>
        <w:t>”</w:t>
      </w:r>
      <w:r>
        <w:rPr>
          <w:rStyle w:val="FootnoteReference"/>
          <w:rFonts w:ascii="Times New Roman" w:hAnsi="Times New Roman" w:cs="Times New Roman"/>
          <w:szCs w:val="24"/>
          <w:shd w:val="clear" w:color="auto" w:fill="FFFFFF"/>
        </w:rPr>
        <w:footnoteReference w:id="18"/>
      </w:r>
      <w:r w:rsidRPr="00005F3A">
        <w:rPr>
          <w:rFonts w:ascii="Times New Roman" w:hAnsi="Times New Roman" w:cs="Times New Roman"/>
          <w:szCs w:val="24"/>
          <w:shd w:val="clear" w:color="auto" w:fill="FFFFFF"/>
        </w:rPr>
        <w:t xml:space="preserve"> </w:t>
      </w:r>
    </w:p>
    <w:p w14:paraId="12CABD9D" w14:textId="77777777" w:rsidR="004A7D39" w:rsidRPr="00005F3A" w:rsidRDefault="005D2842" w:rsidP="004A7D39">
      <w:pPr>
        <w:ind w:firstLine="720"/>
        <w:rPr>
          <w:rFonts w:ascii="Times New Roman" w:hAnsi="Times New Roman" w:cs="Times New Roman"/>
          <w:szCs w:val="24"/>
        </w:rPr>
      </w:pPr>
    </w:p>
    <w:p w14:paraId="06D8E34A" w14:textId="77777777" w:rsidR="006A50CF" w:rsidRPr="00935DE8" w:rsidRDefault="005D2842" w:rsidP="00BE0060">
      <w:pPr>
        <w:ind w:firstLine="720"/>
        <w:rPr>
          <w:rFonts w:ascii="Times New Roman" w:hAnsi="Times New Roman" w:cs="Times New Roman"/>
          <w:szCs w:val="24"/>
        </w:rPr>
      </w:pPr>
      <w:r w:rsidRPr="00005F3A">
        <w:rPr>
          <w:rStyle w:val="ssrfcpassagedeactivated"/>
          <w:rFonts w:ascii="Times New Roman" w:hAnsi="Times New Roman" w:cs="Times New Roman"/>
          <w:szCs w:val="24"/>
          <w:bdr w:val="none" w:sz="0" w:space="0" w:color="auto" w:frame="1"/>
          <w:shd w:val="clear" w:color="auto" w:fill="FFFFFF"/>
        </w:rPr>
        <w:t xml:space="preserve">Therefore, </w:t>
      </w:r>
      <w:r>
        <w:rPr>
          <w:rStyle w:val="ssrfcpassagedeactivated"/>
          <w:rFonts w:ascii="Times New Roman" w:hAnsi="Times New Roman" w:cs="Times New Roman"/>
          <w:szCs w:val="24"/>
          <w:bdr w:val="none" w:sz="0" w:space="0" w:color="auto" w:frame="1"/>
          <w:shd w:val="clear" w:color="auto" w:fill="FFFFFF"/>
        </w:rPr>
        <w:t xml:space="preserve">specialized knowledge and a proper foundation are essential factors in admitting an expert’s testimony. </w:t>
      </w:r>
      <w:r>
        <w:t xml:space="preserve">In </w:t>
      </w:r>
      <w:hyperlink r:id="rId11" w:history="1">
        <w:r w:rsidRPr="00935DE8">
          <w:rPr>
            <w:rStyle w:val="ssit"/>
            <w:rFonts w:ascii="Times New Roman" w:hAnsi="Times New Roman" w:cs="Times New Roman"/>
            <w:szCs w:val="24"/>
            <w:u w:val="single"/>
            <w:bdr w:val="none" w:sz="0" w:space="0" w:color="auto" w:frame="1"/>
            <w:shd w:val="clear" w:color="auto" w:fill="FFFFFF"/>
          </w:rPr>
          <w:t>Combs v. Norfolk &amp; Western Ry. Co</w:t>
        </w:r>
        <w:r w:rsidRPr="00935DE8">
          <w:rPr>
            <w:rStyle w:val="ssit"/>
            <w:rFonts w:ascii="Times New Roman" w:hAnsi="Times New Roman" w:cs="Times New Roman"/>
            <w:i/>
            <w:iCs/>
            <w:szCs w:val="24"/>
            <w:bdr w:val="none" w:sz="0" w:space="0" w:color="auto" w:frame="1"/>
            <w:shd w:val="clear" w:color="auto" w:fill="FFFFFF"/>
          </w:rPr>
          <w:t>.</w:t>
        </w:r>
      </w:hyperlink>
      <w:r>
        <w:rPr>
          <w:rStyle w:val="Hyperlink"/>
          <w:rFonts w:ascii="Times New Roman" w:hAnsi="Times New Roman" w:cs="Times New Roman"/>
          <w:color w:val="auto"/>
          <w:szCs w:val="24"/>
          <w:u w:val="none"/>
          <w:bdr w:val="none" w:sz="0" w:space="0" w:color="auto" w:frame="1"/>
          <w:shd w:val="clear" w:color="auto" w:fill="FFFFFF"/>
        </w:rPr>
        <w:t xml:space="preserve">, </w:t>
      </w:r>
      <w:r w:rsidRPr="00935DE8">
        <w:rPr>
          <w:rStyle w:val="Hyperlink"/>
          <w:rFonts w:ascii="Times New Roman" w:hAnsi="Times New Roman" w:cs="Times New Roman"/>
          <w:color w:val="auto"/>
          <w:szCs w:val="24"/>
          <w:u w:val="none"/>
          <w:bdr w:val="none" w:sz="0" w:space="0" w:color="auto" w:frame="1"/>
          <w:shd w:val="clear" w:color="auto" w:fill="FFFFFF"/>
        </w:rPr>
        <w:t xml:space="preserve">the Court found that the trial court abused its </w:t>
      </w:r>
      <w:r w:rsidRPr="00935DE8">
        <w:rPr>
          <w:rStyle w:val="Hyperlink"/>
          <w:rFonts w:ascii="Times New Roman" w:hAnsi="Times New Roman" w:cs="Times New Roman"/>
          <w:color w:val="auto"/>
          <w:szCs w:val="24"/>
          <w:u w:val="none"/>
          <w:bdr w:val="none" w:sz="0" w:space="0" w:color="auto" w:frame="1"/>
          <w:shd w:val="clear" w:color="auto" w:fill="FFFFFF"/>
        </w:rPr>
        <w:t>discretion by allowing a biomechanical engineer to offer an expert opinion regarding the cause of the plaintiff’s ruptured disc.</w:t>
      </w:r>
      <w:r>
        <w:rPr>
          <w:rStyle w:val="FootnoteReference"/>
          <w:rFonts w:ascii="Times New Roman" w:hAnsi="Times New Roman" w:cs="Times New Roman"/>
          <w:szCs w:val="24"/>
          <w:bdr w:val="none" w:sz="0" w:space="0" w:color="auto" w:frame="1"/>
          <w:shd w:val="clear" w:color="auto" w:fill="FFFFFF"/>
        </w:rPr>
        <w:footnoteReference w:id="19"/>
      </w:r>
      <w:r w:rsidRPr="00935DE8">
        <w:rPr>
          <w:rStyle w:val="Hyperlink"/>
          <w:rFonts w:ascii="Times New Roman" w:hAnsi="Times New Roman" w:cs="Times New Roman"/>
          <w:color w:val="auto"/>
          <w:szCs w:val="24"/>
          <w:u w:val="none"/>
          <w:bdr w:val="none" w:sz="0" w:space="0" w:color="auto" w:frame="1"/>
          <w:shd w:val="clear" w:color="auto" w:fill="FFFFFF"/>
        </w:rPr>
        <w:t xml:space="preserve"> </w:t>
      </w:r>
      <w:r w:rsidRPr="00935DE8">
        <w:rPr>
          <w:rStyle w:val="Hyperlink"/>
          <w:rFonts w:ascii="Times New Roman" w:hAnsi="Times New Roman" w:cs="Times New Roman"/>
          <w:color w:val="auto"/>
          <w:szCs w:val="24"/>
          <w:u w:val="none"/>
          <w:bdr w:val="none" w:sz="0" w:space="0" w:color="auto" w:frame="1"/>
          <w:shd w:val="clear" w:color="auto" w:fill="FFFFFF"/>
        </w:rPr>
        <w:t>The expert was not a medical doctor and was not qualified to give an expert opinion discussing the cause of human injury beca</w:t>
      </w:r>
      <w:r w:rsidRPr="00935DE8">
        <w:rPr>
          <w:rStyle w:val="Hyperlink"/>
          <w:rFonts w:ascii="Times New Roman" w:hAnsi="Times New Roman" w:cs="Times New Roman"/>
          <w:color w:val="auto"/>
          <w:szCs w:val="24"/>
          <w:u w:val="none"/>
          <w:bdr w:val="none" w:sz="0" w:space="0" w:color="auto" w:frame="1"/>
          <w:shd w:val="clear" w:color="auto" w:fill="FFFFFF"/>
        </w:rPr>
        <w:t xml:space="preserve">use </w:t>
      </w:r>
      <w:r w:rsidRPr="00935DE8">
        <w:rPr>
          <w:rStyle w:val="ssrfcpassagedeactivated"/>
          <w:rFonts w:ascii="Times New Roman" w:hAnsi="Times New Roman" w:cs="Times New Roman"/>
          <w:szCs w:val="24"/>
          <w:bdr w:val="none" w:sz="0" w:space="0" w:color="auto" w:frame="1"/>
          <w:shd w:val="clear" w:color="auto" w:fill="FFFFFF"/>
        </w:rPr>
        <w:t>“the question of causation of a human injury is a component part of a diagnosis, which in turn is part of the practice of medicine.”</w:t>
      </w:r>
      <w:r>
        <w:rPr>
          <w:rStyle w:val="FootnoteReference"/>
          <w:rFonts w:ascii="Times New Roman" w:hAnsi="Times New Roman" w:cs="Times New Roman"/>
          <w:szCs w:val="24"/>
          <w:bdr w:val="none" w:sz="0" w:space="0" w:color="auto" w:frame="1"/>
          <w:shd w:val="clear" w:color="auto" w:fill="FFFFFF"/>
        </w:rPr>
        <w:footnoteReference w:id="20"/>
      </w:r>
      <w:r>
        <w:rPr>
          <w:rFonts w:ascii="Times New Roman" w:hAnsi="Times New Roman" w:cs="Times New Roman"/>
          <w:szCs w:val="24"/>
        </w:rPr>
        <w:t xml:space="preserve"> </w:t>
      </w:r>
      <w:r w:rsidRPr="00935DE8">
        <w:rPr>
          <w:rStyle w:val="Hyperlink"/>
          <w:rFonts w:ascii="Times New Roman" w:hAnsi="Times New Roman" w:cs="Times New Roman"/>
          <w:color w:val="auto"/>
          <w:szCs w:val="24"/>
          <w:u w:val="none"/>
          <w:bdr w:val="none" w:sz="0" w:space="0" w:color="auto" w:frame="1"/>
          <w:shd w:val="clear" w:color="auto" w:fill="FFFFFF"/>
        </w:rPr>
        <w:t>I</w:t>
      </w:r>
      <w:r w:rsidRPr="00935DE8">
        <w:rPr>
          <w:rFonts w:ascii="Times New Roman" w:hAnsi="Times New Roman" w:cs="Times New Roman"/>
          <w:szCs w:val="24"/>
          <w:shd w:val="clear" w:color="auto" w:fill="FFFFFF"/>
        </w:rPr>
        <w:t>n</w:t>
      </w:r>
      <w:r w:rsidRPr="00935DE8">
        <w:rPr>
          <w:rFonts w:ascii="Times New Roman" w:hAnsi="Times New Roman" w:cs="Times New Roman"/>
          <w:szCs w:val="24"/>
          <w:shd w:val="clear" w:color="auto" w:fill="FFFFFF"/>
        </w:rPr>
        <w:t xml:space="preserve"> </w:t>
      </w:r>
      <w:r w:rsidRPr="00935DE8">
        <w:rPr>
          <w:rFonts w:ascii="Times New Roman" w:hAnsi="Times New Roman" w:cs="Times New Roman"/>
          <w:szCs w:val="24"/>
          <w:u w:val="single"/>
          <w:shd w:val="clear" w:color="auto" w:fill="FFFFFF"/>
        </w:rPr>
        <w:t>John v. Im</w:t>
      </w:r>
      <w:r w:rsidRPr="00935DE8">
        <w:rPr>
          <w:rFonts w:ascii="Times New Roman" w:hAnsi="Times New Roman" w:cs="Times New Roman"/>
          <w:szCs w:val="24"/>
          <w:shd w:val="clear" w:color="auto" w:fill="FFFFFF"/>
        </w:rPr>
        <w:t xml:space="preserve">, the Court </w:t>
      </w:r>
      <w:r w:rsidRPr="00935DE8">
        <w:rPr>
          <w:rFonts w:ascii="Times New Roman" w:hAnsi="Times New Roman" w:cs="Times New Roman"/>
          <w:szCs w:val="24"/>
          <w:shd w:val="clear" w:color="auto" w:fill="FFFFFF"/>
        </w:rPr>
        <w:t xml:space="preserve">again upheld the line of reasoning in </w:t>
      </w:r>
      <w:r w:rsidRPr="00935DE8">
        <w:rPr>
          <w:rFonts w:ascii="Times New Roman" w:hAnsi="Times New Roman" w:cs="Times New Roman"/>
          <w:szCs w:val="24"/>
          <w:u w:val="single"/>
          <w:shd w:val="clear" w:color="auto" w:fill="FFFFFF"/>
        </w:rPr>
        <w:t>Combs</w:t>
      </w:r>
      <w:r w:rsidRPr="00935DE8">
        <w:rPr>
          <w:rFonts w:ascii="Times New Roman" w:hAnsi="Times New Roman" w:cs="Times New Roman"/>
          <w:szCs w:val="24"/>
          <w:shd w:val="clear" w:color="auto" w:fill="FFFFFF"/>
        </w:rPr>
        <w:t>, and stated that a li</w:t>
      </w:r>
      <w:r w:rsidRPr="00935DE8">
        <w:rPr>
          <w:rFonts w:ascii="Times New Roman" w:hAnsi="Times New Roman" w:cs="Times New Roman"/>
          <w:szCs w:val="24"/>
          <w:shd w:val="clear" w:color="auto" w:fill="FFFFFF"/>
        </w:rPr>
        <w:t xml:space="preserve">censed </w:t>
      </w:r>
      <w:r w:rsidRPr="00935DE8">
        <w:rPr>
          <w:rFonts w:ascii="Times New Roman" w:hAnsi="Times New Roman" w:cs="Times New Roman"/>
          <w:szCs w:val="24"/>
          <w:shd w:val="clear" w:color="auto" w:fill="FFFFFF"/>
        </w:rPr>
        <w:t>psychologist</w:t>
      </w:r>
      <w:r w:rsidRPr="00935DE8">
        <w:rPr>
          <w:rFonts w:ascii="Times New Roman" w:hAnsi="Times New Roman" w:cs="Times New Roman"/>
          <w:szCs w:val="24"/>
          <w:shd w:val="clear" w:color="auto" w:fill="FFFFFF"/>
        </w:rPr>
        <w:t xml:space="preserve"> was not a medical doctor</w:t>
      </w:r>
      <w:r>
        <w:rPr>
          <w:rFonts w:ascii="Times New Roman" w:hAnsi="Times New Roman" w:cs="Times New Roman"/>
          <w:szCs w:val="24"/>
          <w:shd w:val="clear" w:color="auto" w:fill="FFFFFF"/>
        </w:rPr>
        <w:t>,</w:t>
      </w:r>
      <w:r w:rsidRPr="00935DE8">
        <w:rPr>
          <w:rFonts w:ascii="Times New Roman" w:hAnsi="Times New Roman" w:cs="Times New Roman"/>
          <w:szCs w:val="24"/>
          <w:shd w:val="clear" w:color="auto" w:fill="FFFFFF"/>
        </w:rPr>
        <w:t xml:space="preserve"> and therefore was “not qualified to make a medical diagnosis or to state a medical opinion.”</w:t>
      </w:r>
      <w:r>
        <w:rPr>
          <w:rStyle w:val="FootnoteReference"/>
          <w:rFonts w:ascii="Times New Roman" w:hAnsi="Times New Roman" w:cs="Times New Roman"/>
          <w:szCs w:val="24"/>
          <w:shd w:val="clear" w:color="auto" w:fill="FFFFFF"/>
        </w:rPr>
        <w:footnoteReference w:id="21"/>
      </w:r>
    </w:p>
    <w:p w14:paraId="49944AA6" w14:textId="77777777" w:rsidR="001D5E46" w:rsidRDefault="005D2842" w:rsidP="00377CDE">
      <w:pPr>
        <w:ind w:firstLine="576"/>
        <w:rPr>
          <w:rFonts w:ascii="Times New Roman" w:hAnsi="Times New Roman" w:cs="Times New Roman"/>
          <w:szCs w:val="24"/>
          <w:shd w:val="clear" w:color="auto" w:fill="FFFFFF"/>
        </w:rPr>
      </w:pPr>
    </w:p>
    <w:p w14:paraId="5900A80E" w14:textId="77777777" w:rsidR="000A2170" w:rsidRPr="00005F3A" w:rsidRDefault="005D2842" w:rsidP="00377CDE">
      <w:pPr>
        <w:ind w:firstLine="576"/>
        <w:rPr>
          <w:rFonts w:ascii="Times New Roman" w:hAnsi="Times New Roman" w:cs="Times New Roman"/>
          <w:szCs w:val="24"/>
        </w:rPr>
      </w:pPr>
      <w:r w:rsidRPr="00005F3A">
        <w:rPr>
          <w:rFonts w:ascii="Times New Roman" w:hAnsi="Times New Roman" w:cs="Times New Roman"/>
          <w:szCs w:val="24"/>
          <w:shd w:val="clear" w:color="auto" w:fill="FFFFFF"/>
        </w:rPr>
        <w:t xml:space="preserve">Importantly, </w:t>
      </w:r>
      <w:r>
        <w:rPr>
          <w:rFonts w:ascii="Times New Roman" w:hAnsi="Times New Roman" w:cs="Times New Roman"/>
          <w:szCs w:val="24"/>
          <w:shd w:val="clear" w:color="auto" w:fill="FFFFFF"/>
        </w:rPr>
        <w:t xml:space="preserve">in 2007, </w:t>
      </w:r>
      <w:r w:rsidRPr="00005F3A">
        <w:rPr>
          <w:rFonts w:ascii="Times New Roman" w:hAnsi="Times New Roman" w:cs="Times New Roman"/>
          <w:szCs w:val="24"/>
          <w:shd w:val="clear" w:color="auto" w:fill="FFFFFF"/>
        </w:rPr>
        <w:t xml:space="preserve">the </w:t>
      </w:r>
      <w:r>
        <w:rPr>
          <w:rFonts w:ascii="Times New Roman" w:hAnsi="Times New Roman" w:cs="Times New Roman"/>
          <w:szCs w:val="24"/>
          <w:shd w:val="clear" w:color="auto" w:fill="FFFFFF"/>
        </w:rPr>
        <w:t xml:space="preserve">Supreme Court of Virginia </w:t>
      </w:r>
      <w:r>
        <w:rPr>
          <w:rFonts w:ascii="Times New Roman" w:hAnsi="Times New Roman" w:cs="Times New Roman"/>
          <w:szCs w:val="24"/>
          <w:shd w:val="clear" w:color="auto" w:fill="FFFFFF"/>
        </w:rPr>
        <w:t xml:space="preserve">opined that </w:t>
      </w:r>
      <w:r>
        <w:rPr>
          <w:rFonts w:ascii="Times New Roman" w:hAnsi="Times New Roman" w:cs="Times New Roman"/>
          <w:szCs w:val="24"/>
          <w:shd w:val="clear" w:color="auto" w:fill="FFFFFF"/>
        </w:rPr>
        <w:t xml:space="preserve">both of these holdings </w:t>
      </w:r>
      <w:r>
        <w:rPr>
          <w:rFonts w:ascii="Times New Roman" w:hAnsi="Times New Roman" w:cs="Times New Roman"/>
          <w:szCs w:val="24"/>
          <w:shd w:val="clear" w:color="auto" w:fill="FFFFFF"/>
        </w:rPr>
        <w:t xml:space="preserve">show that </w:t>
      </w:r>
      <w:r w:rsidRPr="00005F3A">
        <w:rPr>
          <w:rFonts w:ascii="Times New Roman" w:hAnsi="Times New Roman" w:cs="Times New Roman"/>
          <w:szCs w:val="24"/>
          <w:shd w:val="clear" w:color="auto" w:fill="FFFFFF"/>
        </w:rPr>
        <w:t xml:space="preserve">“we are of </w:t>
      </w:r>
      <w:r w:rsidRPr="00005F3A">
        <w:rPr>
          <w:rFonts w:ascii="Times New Roman" w:hAnsi="Times New Roman" w:cs="Times New Roman"/>
          <w:szCs w:val="24"/>
          <w:shd w:val="clear" w:color="auto" w:fill="FFFFFF"/>
        </w:rPr>
        <w:t>opinion that </w:t>
      </w:r>
      <w:r w:rsidRPr="00005F3A">
        <w:rPr>
          <w:rStyle w:val="ssit"/>
          <w:rFonts w:ascii="Times New Roman" w:hAnsi="Times New Roman" w:cs="Times New Roman"/>
          <w:i/>
          <w:iCs/>
          <w:szCs w:val="24"/>
          <w:bdr w:val="none" w:sz="0" w:space="0" w:color="auto" w:frame="1"/>
          <w:shd w:val="clear" w:color="auto" w:fill="FFFFFF"/>
        </w:rPr>
        <w:t>Combs</w:t>
      </w:r>
      <w:r w:rsidRPr="00005F3A">
        <w:rPr>
          <w:rFonts w:ascii="Times New Roman" w:hAnsi="Times New Roman" w:cs="Times New Roman"/>
          <w:szCs w:val="24"/>
          <w:shd w:val="clear" w:color="auto" w:fill="FFFFFF"/>
        </w:rPr>
        <w:t> and </w:t>
      </w:r>
      <w:r w:rsidRPr="00005F3A">
        <w:rPr>
          <w:rStyle w:val="ssit"/>
          <w:rFonts w:ascii="Times New Roman" w:hAnsi="Times New Roman" w:cs="Times New Roman"/>
          <w:i/>
          <w:iCs/>
          <w:szCs w:val="24"/>
          <w:bdr w:val="none" w:sz="0" w:space="0" w:color="auto" w:frame="1"/>
          <w:shd w:val="clear" w:color="auto" w:fill="FFFFFF"/>
        </w:rPr>
        <w:t>John</w:t>
      </w:r>
      <w:r w:rsidRPr="00005F3A">
        <w:rPr>
          <w:rFonts w:ascii="Times New Roman" w:hAnsi="Times New Roman" w:cs="Times New Roman"/>
          <w:szCs w:val="24"/>
          <w:shd w:val="clear" w:color="auto" w:fill="FFFFFF"/>
        </w:rPr>
        <w:t xml:space="preserve"> do not, and were not intended to, establish a categorical rule in this Commonwealth that only a medical doctor may qualify to </w:t>
      </w:r>
      <w:r w:rsidRPr="00935DE8">
        <w:rPr>
          <w:rFonts w:ascii="Times New Roman" w:hAnsi="Times New Roman" w:cs="Times New Roman"/>
          <w:szCs w:val="24"/>
          <w:shd w:val="clear" w:color="auto" w:fill="FFFFFF"/>
        </w:rPr>
        <w:t>render an expert opinion regarding the diagnosis of PTSD or any other recognized mental disorder.”</w:t>
      </w:r>
      <w:r>
        <w:rPr>
          <w:rStyle w:val="FootnoteReference"/>
          <w:rFonts w:ascii="Times New Roman" w:hAnsi="Times New Roman" w:cs="Times New Roman"/>
          <w:szCs w:val="24"/>
          <w:shd w:val="clear" w:color="auto" w:fill="FFFFFF"/>
        </w:rPr>
        <w:footnoteReference w:id="22"/>
      </w:r>
      <w:r w:rsidRPr="00935DE8">
        <w:rPr>
          <w:rFonts w:ascii="Times New Roman" w:hAnsi="Times New Roman" w:cs="Times New Roman"/>
          <w:szCs w:val="24"/>
          <w:shd w:val="clear" w:color="auto" w:fill="FFFFFF"/>
        </w:rPr>
        <w:t xml:space="preserve"> F</w:t>
      </w:r>
      <w:r w:rsidRPr="00935DE8">
        <w:rPr>
          <w:rFonts w:ascii="Times New Roman" w:hAnsi="Times New Roman" w:cs="Times New Roman"/>
          <w:szCs w:val="24"/>
          <w:shd w:val="clear" w:color="auto" w:fill="FFFFFF"/>
        </w:rPr>
        <w:t>or example, the courts have held that “licensed clinical social workers who are authorized to diagnose mental disorders by statute in appropriate circumstances, may render expert testimony regarding such diagnoses.”</w:t>
      </w:r>
      <w:r>
        <w:rPr>
          <w:rStyle w:val="FootnoteReference"/>
          <w:rFonts w:ascii="Times New Roman" w:hAnsi="Times New Roman" w:cs="Times New Roman"/>
          <w:szCs w:val="24"/>
        </w:rPr>
        <w:footnoteReference w:id="23"/>
      </w:r>
    </w:p>
    <w:p w14:paraId="093C148E" w14:textId="77777777" w:rsidR="006A50CF" w:rsidRDefault="005D2842" w:rsidP="006A50CF">
      <w:pPr>
        <w:rPr>
          <w:rStyle w:val="ssrfcpassagedeactivated"/>
          <w:rFonts w:ascii="Times New Roman" w:hAnsi="Times New Roman" w:cs="Times New Roman"/>
          <w:szCs w:val="24"/>
        </w:rPr>
      </w:pPr>
    </w:p>
    <w:p w14:paraId="60ED3B8A" w14:textId="77777777" w:rsidR="007B7558" w:rsidRPr="00695B80" w:rsidRDefault="005D2842" w:rsidP="00935DE8">
      <w:pPr>
        <w:rPr>
          <w:rStyle w:val="ssrfcpassagedeactivated"/>
          <w:rFonts w:ascii="Times New Roman" w:hAnsi="Times New Roman" w:cs="Times New Roman"/>
          <w:szCs w:val="24"/>
        </w:rPr>
      </w:pPr>
      <w:r>
        <w:rPr>
          <w:rStyle w:val="ssrfcpassagedeactivated"/>
          <w:rFonts w:ascii="Times New Roman" w:hAnsi="Times New Roman" w:cs="Times New Roman"/>
          <w:szCs w:val="24"/>
        </w:rPr>
        <w:tab/>
      </w:r>
      <w:r>
        <w:rPr>
          <w:rStyle w:val="ssrfcpassagedeactivated"/>
          <w:rFonts w:ascii="Times New Roman" w:hAnsi="Times New Roman" w:cs="Times New Roman"/>
          <w:szCs w:val="24"/>
        </w:rPr>
        <w:t xml:space="preserve">In addition to the qualifications of the testifying expert, the court will examine the content and use of the proffered testimony. </w:t>
      </w:r>
      <w:r w:rsidRPr="007B7558">
        <w:rPr>
          <w:rStyle w:val="ssrfcpassagedeactivated"/>
          <w:rFonts w:ascii="Times New Roman" w:hAnsi="Times New Roman" w:cs="Times New Roman"/>
          <w:szCs w:val="24"/>
          <w:bdr w:val="none" w:sz="0" w:space="0" w:color="auto" w:frame="1"/>
          <w:shd w:val="clear" w:color="auto" w:fill="FFFFFF"/>
        </w:rPr>
        <w:t>In </w:t>
      </w:r>
      <w:r w:rsidRPr="00935DE8">
        <w:rPr>
          <w:rStyle w:val="ssit"/>
          <w:rFonts w:ascii="Times New Roman" w:hAnsi="Times New Roman" w:cs="Times New Roman"/>
          <w:szCs w:val="24"/>
          <w:u w:val="single"/>
          <w:bdr w:val="none" w:sz="0" w:space="0" w:color="auto" w:frame="1"/>
          <w:shd w:val="clear" w:color="auto" w:fill="FFFFFF"/>
        </w:rPr>
        <w:t>McMunn</w:t>
      </w:r>
      <w:r w:rsidRPr="00935DE8">
        <w:rPr>
          <w:rStyle w:val="ssit"/>
          <w:rFonts w:ascii="Times New Roman" w:hAnsi="Times New Roman" w:cs="Times New Roman"/>
          <w:szCs w:val="24"/>
          <w:u w:val="single"/>
          <w:bdr w:val="none" w:sz="0" w:space="0" w:color="auto" w:frame="1"/>
          <w:shd w:val="clear" w:color="auto" w:fill="FFFFFF"/>
        </w:rPr>
        <w:t xml:space="preserve"> v. Tatum</w:t>
      </w:r>
      <w:r w:rsidRPr="007B7558">
        <w:rPr>
          <w:rStyle w:val="ssit"/>
          <w:rFonts w:ascii="Times New Roman" w:hAnsi="Times New Roman" w:cs="Times New Roman"/>
          <w:i/>
          <w:iCs/>
          <w:szCs w:val="24"/>
          <w:bdr w:val="none" w:sz="0" w:space="0" w:color="auto" w:frame="1"/>
          <w:shd w:val="clear" w:color="auto" w:fill="FFFFFF"/>
        </w:rPr>
        <w:t xml:space="preserve">, </w:t>
      </w:r>
      <w:r w:rsidRPr="007B7558">
        <w:rPr>
          <w:rFonts w:ascii="Times New Roman" w:hAnsi="Times New Roman" w:cs="Times New Roman"/>
          <w:szCs w:val="24"/>
        </w:rPr>
        <w:t xml:space="preserve">the Court considered </w:t>
      </w:r>
      <w:r w:rsidRPr="007B7558">
        <w:rPr>
          <w:rFonts w:ascii="Times New Roman" w:hAnsi="Times New Roman" w:cs="Times New Roman"/>
          <w:szCs w:val="24"/>
        </w:rPr>
        <w:t>“</w:t>
      </w:r>
      <w:r w:rsidRPr="007B7558">
        <w:rPr>
          <w:rStyle w:val="ssrfcpassagedeactivated"/>
          <w:rFonts w:ascii="Times New Roman" w:hAnsi="Times New Roman" w:cs="Times New Roman"/>
          <w:szCs w:val="24"/>
          <w:bdr w:val="none" w:sz="0" w:space="0" w:color="auto" w:frame="1"/>
          <w:shd w:val="clear" w:color="auto" w:fill="FFFFFF"/>
        </w:rPr>
        <w:t>whether it was error to admit proof of [a] plaintiff</w:t>
      </w:r>
      <w:r w:rsidRPr="007B7558">
        <w:rPr>
          <w:rStyle w:val="ssrfcpassagedeactivated"/>
          <w:rFonts w:ascii="Times New Roman" w:hAnsi="Times New Roman" w:cs="Times New Roman"/>
          <w:szCs w:val="24"/>
          <w:bdr w:val="none" w:sz="0" w:space="0" w:color="auto" w:frame="1"/>
          <w:shd w:val="clear" w:color="auto" w:fill="FFFFFF"/>
        </w:rPr>
        <w:t>’</w:t>
      </w:r>
      <w:r w:rsidRPr="007B7558">
        <w:rPr>
          <w:rStyle w:val="ssrfcpassagedeactivated"/>
          <w:rFonts w:ascii="Times New Roman" w:hAnsi="Times New Roman" w:cs="Times New Roman"/>
          <w:szCs w:val="24"/>
          <w:bdr w:val="none" w:sz="0" w:space="0" w:color="auto" w:frame="1"/>
          <w:shd w:val="clear" w:color="auto" w:fill="FFFFFF"/>
        </w:rPr>
        <w:t>s medical bills without founda</w:t>
      </w:r>
      <w:r w:rsidRPr="007B7558">
        <w:rPr>
          <w:rStyle w:val="ssrfcpassagedeactivated"/>
          <w:rFonts w:ascii="Times New Roman" w:hAnsi="Times New Roman" w:cs="Times New Roman"/>
          <w:szCs w:val="24"/>
          <w:bdr w:val="none" w:sz="0" w:space="0" w:color="auto" w:frame="1"/>
          <w:shd w:val="clear" w:color="auto" w:fill="FFFFFF"/>
        </w:rPr>
        <w:t>tion evidence that they were a necessary consequence of the defendant</w:t>
      </w:r>
      <w:r w:rsidRPr="007B7558">
        <w:rPr>
          <w:rStyle w:val="ssrfcpassagedeactivated"/>
          <w:rFonts w:ascii="Times New Roman" w:hAnsi="Times New Roman" w:cs="Times New Roman"/>
          <w:szCs w:val="24"/>
          <w:bdr w:val="none" w:sz="0" w:space="0" w:color="auto" w:frame="1"/>
          <w:shd w:val="clear" w:color="auto" w:fill="FFFFFF"/>
        </w:rPr>
        <w:t>’</w:t>
      </w:r>
      <w:r w:rsidRPr="007B7558">
        <w:rPr>
          <w:rStyle w:val="ssrfcpassagedeactivated"/>
          <w:rFonts w:ascii="Times New Roman" w:hAnsi="Times New Roman" w:cs="Times New Roman"/>
          <w:szCs w:val="24"/>
          <w:bdr w:val="none" w:sz="0" w:space="0" w:color="auto" w:frame="1"/>
          <w:shd w:val="clear" w:color="auto" w:fill="FFFFFF"/>
        </w:rPr>
        <w:t>s negligence.</w:t>
      </w:r>
      <w:r w:rsidRPr="007B7558">
        <w:rPr>
          <w:rStyle w:val="ssrfcpassagedeactivated"/>
          <w:rFonts w:ascii="Times New Roman" w:hAnsi="Times New Roman" w:cs="Times New Roman"/>
          <w:szCs w:val="24"/>
          <w:bdr w:val="none" w:sz="0" w:space="0" w:color="auto" w:frame="1"/>
          <w:shd w:val="clear" w:color="auto" w:fill="FFFFFF"/>
        </w:rPr>
        <w:t>”</w:t>
      </w:r>
      <w:r>
        <w:rPr>
          <w:rStyle w:val="FootnoteReference"/>
          <w:rFonts w:ascii="Times New Roman" w:hAnsi="Times New Roman" w:cs="Times New Roman"/>
          <w:szCs w:val="24"/>
          <w:bdr w:val="none" w:sz="0" w:space="0" w:color="auto" w:frame="1"/>
          <w:shd w:val="clear" w:color="auto" w:fill="FFFFFF"/>
        </w:rPr>
        <w:footnoteReference w:id="24"/>
      </w:r>
      <w:r w:rsidRPr="007B7558">
        <w:rPr>
          <w:rStyle w:val="ssrfcpassagedeactivated"/>
          <w:rFonts w:ascii="Times New Roman" w:hAnsi="Times New Roman" w:cs="Times New Roman"/>
          <w:szCs w:val="24"/>
          <w:bdr w:val="none" w:sz="0" w:space="0" w:color="auto" w:frame="1"/>
          <w:shd w:val="clear" w:color="auto" w:fill="FFFFFF"/>
        </w:rPr>
        <w:t xml:space="preserve"> In </w:t>
      </w:r>
      <w:r w:rsidRPr="00935DE8">
        <w:rPr>
          <w:rStyle w:val="ssrfcpassagedeactivated"/>
          <w:rFonts w:ascii="Times New Roman" w:hAnsi="Times New Roman" w:cs="Times New Roman"/>
          <w:szCs w:val="24"/>
          <w:u w:val="single"/>
          <w:bdr w:val="none" w:sz="0" w:space="0" w:color="auto" w:frame="1"/>
          <w:shd w:val="clear" w:color="auto" w:fill="FFFFFF"/>
        </w:rPr>
        <w:t>McMunn</w:t>
      </w:r>
      <w:r>
        <w:rPr>
          <w:rStyle w:val="ssrfcpassagedeactivated"/>
          <w:rFonts w:ascii="Times New Roman" w:hAnsi="Times New Roman" w:cs="Times New Roman"/>
          <w:szCs w:val="24"/>
          <w:bdr w:val="none" w:sz="0" w:space="0" w:color="auto" w:frame="1"/>
          <w:shd w:val="clear" w:color="auto" w:fill="FFFFFF"/>
        </w:rPr>
        <w:t xml:space="preserve">, </w:t>
      </w:r>
      <w:r w:rsidRPr="007B7558">
        <w:rPr>
          <w:rStyle w:val="ssrfcpassagedeactivated"/>
          <w:rFonts w:ascii="Times New Roman" w:hAnsi="Times New Roman" w:cs="Times New Roman"/>
          <w:szCs w:val="24"/>
          <w:bdr w:val="none" w:sz="0" w:space="0" w:color="auto" w:frame="1"/>
          <w:shd w:val="clear" w:color="auto" w:fill="FFFFFF"/>
        </w:rPr>
        <w:t>the plaintiff filed a medical negligence action against her dentist. At trial</w:t>
      </w:r>
      <w:r>
        <w:rPr>
          <w:rStyle w:val="ssrfcpassagedeactivated"/>
          <w:rFonts w:ascii="Times New Roman" w:hAnsi="Times New Roman" w:cs="Times New Roman"/>
          <w:szCs w:val="24"/>
          <w:bdr w:val="none" w:sz="0" w:space="0" w:color="auto" w:frame="1"/>
          <w:shd w:val="clear" w:color="auto" w:fill="FFFFFF"/>
        </w:rPr>
        <w:t>,</w:t>
      </w:r>
      <w:r w:rsidRPr="007B7558">
        <w:rPr>
          <w:rStyle w:val="ssrfcpassagedeactivated"/>
          <w:rFonts w:ascii="Times New Roman" w:hAnsi="Times New Roman" w:cs="Times New Roman"/>
          <w:szCs w:val="24"/>
          <w:bdr w:val="none" w:sz="0" w:space="0" w:color="auto" w:frame="1"/>
          <w:shd w:val="clear" w:color="auto" w:fill="FFFFFF"/>
        </w:rPr>
        <w:t xml:space="preserve"> Plaintiff “</w:t>
      </w:r>
      <w:r w:rsidRPr="007B7558">
        <w:rPr>
          <w:rStyle w:val="ssrfcpassagedeactivated"/>
          <w:rFonts w:ascii="Times New Roman" w:hAnsi="Times New Roman" w:cs="Times New Roman"/>
          <w:szCs w:val="24"/>
          <w:bdr w:val="none" w:sz="0" w:space="0" w:color="auto" w:frame="1"/>
          <w:shd w:val="clear" w:color="auto" w:fill="FFFFFF"/>
        </w:rPr>
        <w:t xml:space="preserve">offered in evidence an exhibit consisting of 49 pages of </w:t>
      </w:r>
      <w:r w:rsidRPr="007B7558">
        <w:rPr>
          <w:rStyle w:val="ssrfcpassagedeactivated"/>
          <w:rFonts w:ascii="Times New Roman" w:hAnsi="Times New Roman" w:cs="Times New Roman"/>
          <w:szCs w:val="24"/>
          <w:bdr w:val="none" w:sz="0" w:space="0" w:color="auto" w:frame="1"/>
          <w:shd w:val="clear" w:color="auto" w:fill="FFFFFF"/>
        </w:rPr>
        <w:t>medical, hospital, and pharmaceutical bills attached to a summary sheet, which contained a total of the bills.</w:t>
      </w:r>
      <w:r w:rsidRPr="007B7558">
        <w:rPr>
          <w:rStyle w:val="ssrfcpassagedeactivated"/>
          <w:rFonts w:ascii="Times New Roman" w:hAnsi="Times New Roman" w:cs="Times New Roman"/>
          <w:szCs w:val="24"/>
          <w:bdr w:val="none" w:sz="0" w:space="0" w:color="auto" w:frame="1"/>
          <w:shd w:val="clear" w:color="auto" w:fill="FFFFFF"/>
        </w:rPr>
        <w:t>” She t</w:t>
      </w:r>
      <w:r w:rsidRPr="007B7558">
        <w:rPr>
          <w:rFonts w:ascii="Times New Roman" w:hAnsi="Times New Roman" w:cs="Times New Roman"/>
          <w:szCs w:val="24"/>
          <w:shd w:val="clear" w:color="auto" w:fill="FFFFFF"/>
        </w:rPr>
        <w:t>estified that</w:t>
      </w:r>
      <w:r w:rsidRPr="007B7558">
        <w:rPr>
          <w:rFonts w:ascii="Times New Roman" w:hAnsi="Times New Roman" w:cs="Times New Roman"/>
          <w:szCs w:val="24"/>
          <w:shd w:val="clear" w:color="auto" w:fill="FFFFFF"/>
        </w:rPr>
        <w:t xml:space="preserve"> some of the bills were for conditions </w:t>
      </w:r>
      <w:r w:rsidRPr="007B7558">
        <w:rPr>
          <w:rFonts w:ascii="Times New Roman" w:hAnsi="Times New Roman" w:cs="Times New Roman"/>
          <w:szCs w:val="24"/>
          <w:shd w:val="clear" w:color="auto" w:fill="FFFFFF"/>
        </w:rPr>
        <w:lastRenderedPageBreak/>
        <w:t>unrelated to her claim against the dentist, so she “</w:t>
      </w:r>
      <w:r w:rsidRPr="007B7558">
        <w:rPr>
          <w:rFonts w:ascii="Times New Roman" w:hAnsi="Times New Roman" w:cs="Times New Roman"/>
          <w:szCs w:val="24"/>
          <w:shd w:val="clear" w:color="auto" w:fill="FFFFFF"/>
        </w:rPr>
        <w:t xml:space="preserve">deleted all charges she considered </w:t>
      </w:r>
      <w:r w:rsidRPr="007B7558">
        <w:rPr>
          <w:rFonts w:ascii="Times New Roman" w:hAnsi="Times New Roman" w:cs="Times New Roman"/>
          <w:szCs w:val="24"/>
          <w:shd w:val="clear" w:color="auto" w:fill="FFFFFF"/>
        </w:rPr>
        <w:t xml:space="preserve">unrelated </w:t>
      </w:r>
      <w:r w:rsidRPr="007B7558">
        <w:rPr>
          <w:rFonts w:ascii="Times New Roman" w:hAnsi="Times New Roman" w:cs="Times New Roman"/>
          <w:szCs w:val="24"/>
          <w:shd w:val="clear" w:color="auto" w:fill="FFFFFF"/>
        </w:rPr>
        <w:t xml:space="preserve">her </w:t>
      </w:r>
      <w:r w:rsidRPr="007B7558">
        <w:rPr>
          <w:rFonts w:ascii="Times New Roman" w:hAnsi="Times New Roman" w:cs="Times New Roman"/>
          <w:szCs w:val="24"/>
          <w:shd w:val="clear" w:color="auto" w:fill="FFFFFF"/>
        </w:rPr>
        <w:t>claim.</w:t>
      </w:r>
      <w:r w:rsidRPr="007B7558">
        <w:rPr>
          <w:rFonts w:ascii="Times New Roman" w:hAnsi="Times New Roman" w:cs="Times New Roman"/>
          <w:szCs w:val="24"/>
          <w:shd w:val="clear" w:color="auto" w:fill="FFFFFF"/>
        </w:rPr>
        <w:t>” Her summary went from $102,687.48 in medical bills, from which she deducted $2,139.60 for unrelated charges. S</w:t>
      </w:r>
      <w:r w:rsidRPr="007B7558">
        <w:rPr>
          <w:rStyle w:val="ssrfcpassagedeactivated"/>
          <w:rFonts w:ascii="Times New Roman" w:hAnsi="Times New Roman" w:cs="Times New Roman"/>
          <w:szCs w:val="24"/>
          <w:bdr w:val="none" w:sz="0" w:space="0" w:color="auto" w:frame="1"/>
          <w:shd w:val="clear" w:color="auto" w:fill="FFFFFF"/>
        </w:rPr>
        <w:t xml:space="preserve">he did not qualify as an expert witness. </w:t>
      </w:r>
      <w:r w:rsidRPr="007B7558">
        <w:rPr>
          <w:rStyle w:val="ssrfcpassagedeactivated"/>
          <w:rFonts w:ascii="Times New Roman" w:hAnsi="Times New Roman" w:cs="Times New Roman"/>
          <w:szCs w:val="24"/>
          <w:bdr w:val="none" w:sz="0" w:space="0" w:color="auto" w:frame="1"/>
          <w:shd w:val="clear" w:color="auto" w:fill="FFFFFF"/>
        </w:rPr>
        <w:t xml:space="preserve">The Dentist </w:t>
      </w:r>
      <w:r w:rsidRPr="007B7558">
        <w:rPr>
          <w:rStyle w:val="ssrfcpassagedeactivated"/>
          <w:rFonts w:ascii="Times New Roman" w:hAnsi="Times New Roman" w:cs="Times New Roman"/>
          <w:szCs w:val="24"/>
          <w:bdr w:val="none" w:sz="0" w:space="0" w:color="auto" w:frame="1"/>
          <w:shd w:val="clear" w:color="auto" w:fill="FFFFFF"/>
        </w:rPr>
        <w:t xml:space="preserve">objected to this evidence on the basis that it lacked a </w:t>
      </w:r>
      <w:r w:rsidRPr="007B7558">
        <w:rPr>
          <w:rStyle w:val="ssrfcpassagedeactivated"/>
          <w:rFonts w:ascii="Times New Roman" w:hAnsi="Times New Roman" w:cs="Times New Roman"/>
          <w:szCs w:val="24"/>
          <w:bdr w:val="none" w:sz="0" w:space="0" w:color="auto" w:frame="1"/>
          <w:shd w:val="clear" w:color="auto" w:fill="FFFFFF"/>
        </w:rPr>
        <w:t>foundation to show that the e</w:t>
      </w:r>
      <w:r w:rsidRPr="00695B80">
        <w:rPr>
          <w:rStyle w:val="ssrfcpassagedeactivated"/>
          <w:rFonts w:ascii="Times New Roman" w:hAnsi="Times New Roman" w:cs="Times New Roman"/>
          <w:szCs w:val="24"/>
          <w:bdr w:val="none" w:sz="0" w:space="0" w:color="auto" w:frame="1"/>
          <w:shd w:val="clear" w:color="auto" w:fill="FFFFFF"/>
        </w:rPr>
        <w:t xml:space="preserve">xpenses claimed were necessarily incurred as a result of his alleged negligence. </w:t>
      </w:r>
      <w:r w:rsidRPr="00695B80">
        <w:rPr>
          <w:rStyle w:val="ssrfcpassagedeactivated"/>
          <w:rFonts w:ascii="Times New Roman" w:hAnsi="Times New Roman" w:cs="Times New Roman"/>
          <w:szCs w:val="24"/>
        </w:rPr>
        <w:t>The Court stated that, “[w]</w:t>
      </w:r>
      <w:r w:rsidRPr="00695B80">
        <w:rPr>
          <w:rFonts w:ascii="Times New Roman" w:hAnsi="Times New Roman" w:cs="Times New Roman"/>
          <w:szCs w:val="24"/>
          <w:shd w:val="clear" w:color="auto" w:fill="FFFFFF"/>
        </w:rPr>
        <w:t>e now hold that where the defendant objects to the introduction of medical bills, indicating that the defendant</w:t>
      </w:r>
      <w:r>
        <w:rPr>
          <w:rFonts w:ascii="Times New Roman" w:hAnsi="Times New Roman" w:cs="Times New Roman"/>
          <w:szCs w:val="24"/>
          <w:shd w:val="clear" w:color="auto" w:fill="FFFFFF"/>
        </w:rPr>
        <w:t>’</w:t>
      </w:r>
      <w:r w:rsidRPr="00695B80">
        <w:rPr>
          <w:rFonts w:ascii="Times New Roman" w:hAnsi="Times New Roman" w:cs="Times New Roman"/>
          <w:szCs w:val="24"/>
          <w:shd w:val="clear" w:color="auto" w:fill="FFFFFF"/>
        </w:rPr>
        <w:t>s evide</w:t>
      </w:r>
      <w:r w:rsidRPr="00695B80">
        <w:rPr>
          <w:rFonts w:ascii="Times New Roman" w:hAnsi="Times New Roman" w:cs="Times New Roman"/>
          <w:szCs w:val="24"/>
          <w:shd w:val="clear" w:color="auto" w:fill="FFFFFF"/>
        </w:rPr>
        <w:t>nce will raise a substantial contest as to either the question of medical necessity or the question of causal relationship, the court may admit the challenged medical bills only with foundation expert testimony tending to establish medical necessity or cau</w:t>
      </w:r>
      <w:r w:rsidRPr="00695B80">
        <w:rPr>
          <w:rFonts w:ascii="Times New Roman" w:hAnsi="Times New Roman" w:cs="Times New Roman"/>
          <w:szCs w:val="24"/>
          <w:shd w:val="clear" w:color="auto" w:fill="FFFFFF"/>
        </w:rPr>
        <w:t>sal relationship, or both, as appropriate.”</w:t>
      </w:r>
      <w:r>
        <w:rPr>
          <w:rStyle w:val="FootnoteReference"/>
          <w:rFonts w:ascii="Times New Roman" w:hAnsi="Times New Roman" w:cs="Times New Roman"/>
          <w:szCs w:val="24"/>
          <w:shd w:val="clear" w:color="auto" w:fill="FFFFFF"/>
        </w:rPr>
        <w:footnoteReference w:id="25"/>
      </w:r>
    </w:p>
    <w:p w14:paraId="08120091" w14:textId="77777777" w:rsidR="007B7558" w:rsidRPr="00695B80" w:rsidRDefault="005D2842" w:rsidP="007B7558">
      <w:pPr>
        <w:rPr>
          <w:rStyle w:val="ssrfcpassagedeactivated"/>
          <w:rFonts w:ascii="Times New Roman" w:hAnsi="Times New Roman" w:cs="Times New Roman"/>
          <w:szCs w:val="24"/>
        </w:rPr>
      </w:pPr>
    </w:p>
    <w:p w14:paraId="35AC6F93" w14:textId="77777777" w:rsidR="00BA24C0" w:rsidRDefault="005D2842" w:rsidP="007B7558">
      <w:pPr>
        <w:ind w:firstLine="720"/>
        <w:rPr>
          <w:rFonts w:ascii="Times New Roman" w:hAnsi="Times New Roman" w:cs="Times New Roman"/>
          <w:szCs w:val="24"/>
          <w:shd w:val="clear" w:color="auto" w:fill="FFFFFF"/>
        </w:rPr>
      </w:pPr>
      <w:r w:rsidRPr="00695B80">
        <w:rPr>
          <w:rFonts w:ascii="Times New Roman" w:hAnsi="Times New Roman" w:cs="Times New Roman"/>
          <w:szCs w:val="24"/>
        </w:rPr>
        <w:t xml:space="preserve">In </w:t>
      </w:r>
      <w:hyperlink r:id="rId12" w:history="1">
        <w:r w:rsidRPr="00935DE8">
          <w:rPr>
            <w:rStyle w:val="Hyperlink"/>
            <w:rFonts w:ascii="Times New Roman" w:hAnsi="Times New Roman" w:cs="Times New Roman"/>
            <w:color w:val="auto"/>
            <w:szCs w:val="24"/>
            <w:bdr w:val="none" w:sz="0" w:space="0" w:color="auto" w:frame="1"/>
            <w:shd w:val="clear" w:color="auto" w:fill="FFFFFF"/>
          </w:rPr>
          <w:t>Norfolk Bev. Co. v. Cho</w:t>
        </w:r>
        <w:r w:rsidRPr="00695B80">
          <w:rPr>
            <w:rStyle w:val="Hyperlink"/>
            <w:rFonts w:ascii="Times New Roman" w:hAnsi="Times New Roman" w:cs="Times New Roman"/>
            <w:color w:val="auto"/>
            <w:szCs w:val="24"/>
            <w:u w:val="none"/>
            <w:bdr w:val="none" w:sz="0" w:space="0" w:color="auto" w:frame="1"/>
            <w:shd w:val="clear" w:color="auto" w:fill="FFFFFF"/>
          </w:rPr>
          <w:t xml:space="preserve">, </w:t>
        </w:r>
      </w:hyperlink>
      <w:r w:rsidRPr="00695B80">
        <w:rPr>
          <w:rFonts w:ascii="Times New Roman" w:hAnsi="Times New Roman" w:cs="Times New Roman"/>
          <w:szCs w:val="24"/>
        </w:rPr>
        <w:t xml:space="preserve">the Court held that </w:t>
      </w:r>
      <w:r w:rsidRPr="00695B80">
        <w:rPr>
          <w:rFonts w:ascii="Times New Roman" w:hAnsi="Times New Roman" w:cs="Times New Roman"/>
          <w:szCs w:val="24"/>
        </w:rPr>
        <w:t xml:space="preserve">the </w:t>
      </w:r>
      <w:r w:rsidRPr="00695B80">
        <w:rPr>
          <w:rFonts w:ascii="Times New Roman" w:hAnsi="Times New Roman" w:cs="Times New Roman"/>
          <w:szCs w:val="24"/>
        </w:rPr>
        <w:t xml:space="preserve">Circuit Court did not err in </w:t>
      </w:r>
      <w:r w:rsidRPr="00695B80">
        <w:rPr>
          <w:rFonts w:ascii="Times New Roman" w:hAnsi="Times New Roman" w:cs="Times New Roman"/>
          <w:szCs w:val="24"/>
          <w:shd w:val="clear" w:color="auto" w:fill="FFFFFF"/>
        </w:rPr>
        <w:t>in admitting t</w:t>
      </w:r>
      <w:r w:rsidRPr="00695B80">
        <w:rPr>
          <w:rFonts w:ascii="Times New Roman" w:hAnsi="Times New Roman" w:cs="Times New Roman"/>
          <w:szCs w:val="24"/>
          <w:shd w:val="clear" w:color="auto" w:fill="FFFFFF"/>
        </w:rPr>
        <w:t>he plaintiffs</w:t>
      </w:r>
      <w:r w:rsidRPr="00695B80">
        <w:rPr>
          <w:rFonts w:ascii="Times New Roman" w:hAnsi="Times New Roman" w:cs="Times New Roman"/>
          <w:szCs w:val="24"/>
          <w:shd w:val="clear" w:color="auto" w:fill="FFFFFF"/>
        </w:rPr>
        <w:t xml:space="preserve">’ </w:t>
      </w:r>
      <w:r w:rsidRPr="00695B80">
        <w:rPr>
          <w:rFonts w:ascii="Times New Roman" w:hAnsi="Times New Roman" w:cs="Times New Roman"/>
          <w:szCs w:val="24"/>
          <w:shd w:val="clear" w:color="auto" w:fill="FFFFFF"/>
        </w:rPr>
        <w:t>medical summaries.</w:t>
      </w:r>
      <w:r w:rsidRPr="00695B80">
        <w:rPr>
          <w:rFonts w:ascii="Times New Roman" w:hAnsi="Times New Roman" w:cs="Times New Roman"/>
          <w:szCs w:val="24"/>
          <w:shd w:val="clear" w:color="auto" w:fill="FFFFFF"/>
        </w:rPr>
        <w:t xml:space="preserve"> </w:t>
      </w:r>
      <w:r>
        <w:rPr>
          <w:rStyle w:val="FootnoteReference"/>
          <w:rFonts w:ascii="Times New Roman" w:hAnsi="Times New Roman" w:cs="Times New Roman"/>
          <w:szCs w:val="24"/>
          <w:shd w:val="clear" w:color="auto" w:fill="FFFFFF"/>
        </w:rPr>
        <w:footnoteReference w:id="26"/>
      </w:r>
      <w:r w:rsidRPr="00695B80">
        <w:rPr>
          <w:rFonts w:ascii="Times New Roman" w:hAnsi="Times New Roman" w:cs="Times New Roman"/>
          <w:szCs w:val="24"/>
          <w:shd w:val="clear" w:color="auto" w:fill="FFFFFF"/>
        </w:rPr>
        <w:t xml:space="preserve"> </w:t>
      </w:r>
      <w:r w:rsidRPr="00695B80">
        <w:rPr>
          <w:rFonts w:ascii="Times New Roman" w:hAnsi="Times New Roman" w:cs="Times New Roman"/>
          <w:szCs w:val="24"/>
          <w:shd w:val="clear" w:color="auto" w:fill="FFFFFF"/>
        </w:rPr>
        <w:t xml:space="preserve">In </w:t>
      </w:r>
      <w:r w:rsidRPr="00935DE8">
        <w:rPr>
          <w:rFonts w:ascii="Times New Roman" w:hAnsi="Times New Roman" w:cs="Times New Roman"/>
          <w:szCs w:val="24"/>
          <w:u w:val="single"/>
          <w:shd w:val="clear" w:color="auto" w:fill="FFFFFF"/>
        </w:rPr>
        <w:t>Norfolk</w:t>
      </w:r>
      <w:r>
        <w:rPr>
          <w:rFonts w:ascii="Times New Roman" w:hAnsi="Times New Roman" w:cs="Times New Roman"/>
          <w:szCs w:val="24"/>
          <w:u w:val="single"/>
          <w:shd w:val="clear" w:color="auto" w:fill="FFFFFF"/>
        </w:rPr>
        <w:t xml:space="preserve"> Bev.</w:t>
      </w:r>
      <w:r>
        <w:rPr>
          <w:rFonts w:ascii="Times New Roman" w:hAnsi="Times New Roman" w:cs="Times New Roman"/>
          <w:szCs w:val="24"/>
          <w:shd w:val="clear" w:color="auto" w:fill="FFFFFF"/>
        </w:rPr>
        <w:t xml:space="preserve">, </w:t>
      </w:r>
      <w:r w:rsidRPr="00695B80">
        <w:rPr>
          <w:rFonts w:ascii="Times New Roman" w:hAnsi="Times New Roman" w:cs="Times New Roman"/>
          <w:szCs w:val="24"/>
          <w:shd w:val="clear" w:color="auto" w:fill="FFFFFF"/>
        </w:rPr>
        <w:t>a board certified p</w:t>
      </w:r>
      <w:r w:rsidRPr="00695B80">
        <w:rPr>
          <w:rFonts w:ascii="Times New Roman" w:hAnsi="Times New Roman" w:cs="Times New Roman"/>
          <w:szCs w:val="24"/>
          <w:shd w:val="clear" w:color="auto" w:fill="FFFFFF"/>
        </w:rPr>
        <w:t>hysiatrist</w:t>
      </w:r>
      <w:r w:rsidRPr="00695B80">
        <w:rPr>
          <w:rFonts w:ascii="Times New Roman" w:hAnsi="Times New Roman" w:cs="Times New Roman"/>
          <w:szCs w:val="24"/>
          <w:shd w:val="clear" w:color="auto" w:fill="FFFFFF"/>
        </w:rPr>
        <w:t xml:space="preserve">, </w:t>
      </w:r>
      <w:r w:rsidRPr="00695B80">
        <w:rPr>
          <w:rFonts w:ascii="Times New Roman" w:hAnsi="Times New Roman" w:cs="Times New Roman"/>
          <w:szCs w:val="24"/>
          <w:shd w:val="clear" w:color="auto" w:fill="FFFFFF"/>
        </w:rPr>
        <w:t xml:space="preserve">board certified in physical medicine and rehabilitation, </w:t>
      </w:r>
      <w:r w:rsidRPr="00695B80">
        <w:rPr>
          <w:rFonts w:ascii="Times New Roman" w:hAnsi="Times New Roman" w:cs="Times New Roman"/>
          <w:szCs w:val="24"/>
          <w:shd w:val="clear" w:color="auto" w:fill="FFFFFF"/>
        </w:rPr>
        <w:t>“</w:t>
      </w:r>
      <w:r w:rsidRPr="00695B80">
        <w:rPr>
          <w:rFonts w:ascii="Times New Roman" w:hAnsi="Times New Roman" w:cs="Times New Roman"/>
          <w:szCs w:val="24"/>
          <w:shd w:val="clear" w:color="auto" w:fill="FFFFFF"/>
        </w:rPr>
        <w:t>testified that he performed separate, independent medical evaluations</w:t>
      </w:r>
      <w:r w:rsidRPr="00695B80">
        <w:rPr>
          <w:rFonts w:ascii="Times New Roman" w:hAnsi="Times New Roman" w:cs="Times New Roman"/>
          <w:szCs w:val="24"/>
          <w:shd w:val="clear" w:color="auto" w:fill="FFFFFF"/>
        </w:rPr>
        <w:t>.</w:t>
      </w:r>
      <w:r w:rsidRPr="00695B80">
        <w:rPr>
          <w:rFonts w:ascii="Times New Roman" w:hAnsi="Times New Roman" w:cs="Times New Roman"/>
          <w:szCs w:val="24"/>
          <w:shd w:val="clear" w:color="auto" w:fill="FFFFFF"/>
        </w:rPr>
        <w:t>”</w:t>
      </w:r>
      <w:r w:rsidRPr="00695B80">
        <w:rPr>
          <w:rFonts w:ascii="Times New Roman" w:hAnsi="Times New Roman" w:cs="Times New Roman"/>
          <w:szCs w:val="24"/>
          <w:shd w:val="clear" w:color="auto" w:fill="FFFFFF"/>
        </w:rPr>
        <w:t xml:space="preserve"> After he reviewed all the medical records, he “</w:t>
      </w:r>
      <w:r w:rsidRPr="00695B80">
        <w:rPr>
          <w:rFonts w:ascii="Times New Roman" w:hAnsi="Times New Roman" w:cs="Times New Roman"/>
          <w:szCs w:val="24"/>
          <w:shd w:val="clear" w:color="auto" w:fill="FFFFFF"/>
        </w:rPr>
        <w:t>conducted comprehensive physical examinations upon them</w:t>
      </w:r>
      <w:r w:rsidRPr="00005F3A">
        <w:rPr>
          <w:rFonts w:ascii="Times New Roman" w:hAnsi="Times New Roman" w:cs="Times New Roman"/>
          <w:szCs w:val="24"/>
          <w:shd w:val="clear" w:color="auto" w:fill="FFFFFF"/>
        </w:rPr>
        <w:t>, took their medical histories, evaluated their conditions, and made recommendations for medical treatment.</w:t>
      </w:r>
      <w:r>
        <w:rPr>
          <w:rFonts w:ascii="Times New Roman" w:hAnsi="Times New Roman" w:cs="Times New Roman"/>
          <w:szCs w:val="24"/>
          <w:shd w:val="clear" w:color="auto" w:fill="FFFFFF"/>
        </w:rPr>
        <w:t xml:space="preserve">” Significantly, the Court stated that </w:t>
      </w:r>
      <w:r w:rsidRPr="00005F3A">
        <w:rPr>
          <w:rFonts w:ascii="Times New Roman" w:hAnsi="Times New Roman" w:cs="Times New Roman"/>
          <w:szCs w:val="24"/>
          <w:shd w:val="clear" w:color="auto" w:fill="FFFFFF"/>
        </w:rPr>
        <w:t>“</w:t>
      </w:r>
      <w:r>
        <w:rPr>
          <w:rFonts w:ascii="Times New Roman" w:hAnsi="Times New Roman" w:cs="Times New Roman"/>
          <w:szCs w:val="24"/>
          <w:shd w:val="clear" w:color="auto" w:fill="FFFFFF"/>
        </w:rPr>
        <w:t>[e]</w:t>
      </w:r>
      <w:r w:rsidRPr="00005F3A">
        <w:rPr>
          <w:rFonts w:ascii="Times New Roman" w:hAnsi="Times New Roman" w:cs="Times New Roman"/>
          <w:szCs w:val="24"/>
          <w:shd w:val="clear" w:color="auto" w:fill="FFFFFF"/>
        </w:rPr>
        <w:t>ven</w:t>
      </w:r>
      <w:r w:rsidRPr="00005F3A">
        <w:rPr>
          <w:rFonts w:ascii="Times New Roman" w:hAnsi="Times New Roman" w:cs="Times New Roman"/>
          <w:szCs w:val="24"/>
          <w:shd w:val="clear" w:color="auto" w:fill="FFFFFF"/>
        </w:rPr>
        <w:t xml:space="preserve"> though the exhibits that were introduced in evidence contained medical bills from hospitals, radiologists, family practitioners, neurologists, emergency room physicians, and other health care providers, we hold that in view of </w:t>
      </w:r>
      <w:r>
        <w:rPr>
          <w:rFonts w:ascii="Times New Roman" w:hAnsi="Times New Roman" w:cs="Times New Roman"/>
          <w:szCs w:val="24"/>
          <w:shd w:val="clear" w:color="auto" w:fill="FFFFFF"/>
        </w:rPr>
        <w:t xml:space="preserve">[the physiatrist’s] </w:t>
      </w:r>
      <w:r w:rsidRPr="00005F3A">
        <w:rPr>
          <w:rFonts w:ascii="Times New Roman" w:hAnsi="Times New Roman" w:cs="Times New Roman"/>
          <w:szCs w:val="24"/>
          <w:shd w:val="clear" w:color="auto" w:fill="FFFFFF"/>
        </w:rPr>
        <w:t>expertis</w:t>
      </w:r>
      <w:r w:rsidRPr="00005F3A">
        <w:rPr>
          <w:rFonts w:ascii="Times New Roman" w:hAnsi="Times New Roman" w:cs="Times New Roman"/>
          <w:szCs w:val="24"/>
          <w:shd w:val="clear" w:color="auto" w:fill="FFFFFF"/>
        </w:rPr>
        <w:t xml:space="preserve">e, the circuit court did not err in permitting him to render opinions with a reasonable degree of medical certainty that the treatment the </w:t>
      </w:r>
      <w:r>
        <w:rPr>
          <w:rFonts w:ascii="Times New Roman" w:hAnsi="Times New Roman" w:cs="Times New Roman"/>
          <w:szCs w:val="24"/>
          <w:shd w:val="clear" w:color="auto" w:fill="FFFFFF"/>
        </w:rPr>
        <w:t xml:space="preserve">[plaintiffs] </w:t>
      </w:r>
      <w:r w:rsidRPr="00005F3A">
        <w:rPr>
          <w:rFonts w:ascii="Times New Roman" w:hAnsi="Times New Roman" w:cs="Times New Roman"/>
          <w:szCs w:val="24"/>
          <w:shd w:val="clear" w:color="auto" w:fill="FFFFFF"/>
        </w:rPr>
        <w:t>received was reasonable and causally related to the assaults.</w:t>
      </w:r>
      <w:r>
        <w:rPr>
          <w:rFonts w:ascii="Times New Roman" w:hAnsi="Times New Roman" w:cs="Times New Roman"/>
          <w:szCs w:val="24"/>
          <w:shd w:val="clear" w:color="auto" w:fill="FFFFFF"/>
        </w:rPr>
        <w:t>”</w:t>
      </w:r>
      <w:r>
        <w:rPr>
          <w:rStyle w:val="FootnoteReference"/>
          <w:rFonts w:ascii="Times New Roman" w:hAnsi="Times New Roman" w:cs="Times New Roman"/>
          <w:szCs w:val="24"/>
          <w:shd w:val="clear" w:color="auto" w:fill="FFFFFF"/>
        </w:rPr>
        <w:footnoteReference w:id="27"/>
      </w:r>
      <w:r>
        <w:rPr>
          <w:rFonts w:ascii="Times New Roman" w:hAnsi="Times New Roman" w:cs="Times New Roman"/>
          <w:szCs w:val="24"/>
          <w:shd w:val="clear" w:color="auto" w:fill="FFFFFF"/>
        </w:rPr>
        <w:t xml:space="preserve"> </w:t>
      </w:r>
      <w:r>
        <w:rPr>
          <w:rFonts w:ascii="Times New Roman" w:hAnsi="Times New Roman" w:cs="Times New Roman"/>
          <w:szCs w:val="24"/>
          <w:shd w:val="clear" w:color="auto" w:fill="FFFFFF"/>
        </w:rPr>
        <w:t xml:space="preserve">The </w:t>
      </w:r>
      <w:r>
        <w:rPr>
          <w:rFonts w:ascii="Times New Roman" w:hAnsi="Times New Roman" w:cs="Times New Roman"/>
          <w:szCs w:val="24"/>
          <w:shd w:val="clear" w:color="auto" w:fill="FFFFFF"/>
        </w:rPr>
        <w:t>C</w:t>
      </w:r>
      <w:r>
        <w:rPr>
          <w:rFonts w:ascii="Times New Roman" w:hAnsi="Times New Roman" w:cs="Times New Roman"/>
          <w:szCs w:val="24"/>
          <w:shd w:val="clear" w:color="auto" w:fill="FFFFFF"/>
        </w:rPr>
        <w:t xml:space="preserve">ourt again focused on the methodology of the </w:t>
      </w:r>
      <w:r>
        <w:rPr>
          <w:rFonts w:ascii="Times New Roman" w:hAnsi="Times New Roman" w:cs="Times New Roman"/>
          <w:szCs w:val="24"/>
          <w:shd w:val="clear" w:color="auto" w:fill="FFFFFF"/>
        </w:rPr>
        <w:t xml:space="preserve">expert. </w:t>
      </w:r>
    </w:p>
    <w:p w14:paraId="33413D62" w14:textId="77777777" w:rsidR="00BA24C0" w:rsidRDefault="005D2842" w:rsidP="00BA24C0">
      <w:pPr>
        <w:ind w:left="576"/>
        <w:rPr>
          <w:rFonts w:ascii="Times New Roman" w:hAnsi="Times New Roman" w:cs="Times New Roman"/>
          <w:szCs w:val="24"/>
          <w:shd w:val="clear" w:color="auto" w:fill="FFFFFF"/>
        </w:rPr>
      </w:pPr>
    </w:p>
    <w:p w14:paraId="68DCB06A" w14:textId="77777777" w:rsidR="00DE1819" w:rsidRPr="00005F3A" w:rsidRDefault="005D2842" w:rsidP="007B7558">
      <w:pPr>
        <w:ind w:firstLine="576"/>
        <w:rPr>
          <w:rStyle w:val="ssrfcpassagedeactivated"/>
          <w:rFonts w:ascii="Times New Roman" w:hAnsi="Times New Roman" w:cs="Times New Roman"/>
          <w:szCs w:val="24"/>
        </w:rPr>
      </w:pPr>
      <w:r>
        <w:rPr>
          <w:rFonts w:ascii="Times New Roman" w:hAnsi="Times New Roman" w:cs="Times New Roman"/>
          <w:szCs w:val="24"/>
          <w:shd w:val="clear" w:color="auto" w:fill="FFFFFF"/>
        </w:rPr>
        <w:t>However,</w:t>
      </w:r>
      <w:r>
        <w:rPr>
          <w:rFonts w:ascii="Times New Roman" w:hAnsi="Times New Roman" w:cs="Times New Roman"/>
          <w:szCs w:val="24"/>
          <w:shd w:val="clear" w:color="auto" w:fill="FFFFFF"/>
        </w:rPr>
        <w:t xml:space="preserve"> even if the court admits the expert’s testimony, there are </w:t>
      </w:r>
      <w:r>
        <w:rPr>
          <w:rFonts w:ascii="Times New Roman" w:hAnsi="Times New Roman" w:cs="Times New Roman"/>
          <w:szCs w:val="24"/>
          <w:shd w:val="clear" w:color="auto" w:fill="FFFFFF"/>
        </w:rPr>
        <w:t xml:space="preserve">hearsay </w:t>
      </w:r>
      <w:r>
        <w:rPr>
          <w:rFonts w:ascii="Times New Roman" w:hAnsi="Times New Roman" w:cs="Times New Roman"/>
          <w:szCs w:val="24"/>
          <w:shd w:val="clear" w:color="auto" w:fill="FFFFFF"/>
        </w:rPr>
        <w:t>limitations o</w:t>
      </w:r>
      <w:r>
        <w:rPr>
          <w:rFonts w:ascii="Times New Roman" w:hAnsi="Times New Roman" w:cs="Times New Roman"/>
          <w:szCs w:val="24"/>
          <w:shd w:val="clear" w:color="auto" w:fill="FFFFFF"/>
        </w:rPr>
        <w:t xml:space="preserve">n </w:t>
      </w:r>
      <w:r>
        <w:rPr>
          <w:rFonts w:ascii="Times New Roman" w:hAnsi="Times New Roman" w:cs="Times New Roman"/>
          <w:szCs w:val="24"/>
          <w:shd w:val="clear" w:color="auto" w:fill="FFFFFF"/>
        </w:rPr>
        <w:t xml:space="preserve">the </w:t>
      </w:r>
      <w:r>
        <w:rPr>
          <w:rFonts w:ascii="Times New Roman" w:hAnsi="Times New Roman" w:cs="Times New Roman"/>
          <w:szCs w:val="24"/>
          <w:shd w:val="clear" w:color="auto" w:fill="FFFFFF"/>
        </w:rPr>
        <w:t xml:space="preserve">testimony. </w:t>
      </w:r>
      <w:r>
        <w:rPr>
          <w:rFonts w:ascii="Times New Roman" w:hAnsi="Times New Roman" w:cs="Times New Roman"/>
          <w:szCs w:val="24"/>
          <w:shd w:val="clear" w:color="auto" w:fill="FFFFFF"/>
        </w:rPr>
        <w:t xml:space="preserve">In </w:t>
      </w:r>
      <w:r w:rsidRPr="00005F3A">
        <w:rPr>
          <w:rStyle w:val="ssrfcpassagedeactivated"/>
          <w:rFonts w:ascii="Times New Roman" w:hAnsi="Times New Roman" w:cs="Times New Roman"/>
          <w:szCs w:val="24"/>
          <w:u w:val="single"/>
        </w:rPr>
        <w:t>Hyundai Motor Co. v. Duncan</w:t>
      </w:r>
      <w:r>
        <w:rPr>
          <w:rStyle w:val="ssrfcpassagedeactivated"/>
          <w:rFonts w:ascii="Times New Roman" w:hAnsi="Times New Roman" w:cs="Times New Roman"/>
          <w:szCs w:val="24"/>
          <w:u w:val="single"/>
        </w:rPr>
        <w:t>,</w:t>
      </w:r>
      <w:r w:rsidRPr="00005F3A">
        <w:rPr>
          <w:rStyle w:val="ssrfcpassagedeactivated"/>
          <w:rFonts w:ascii="Times New Roman" w:hAnsi="Times New Roman" w:cs="Times New Roman"/>
          <w:szCs w:val="24"/>
        </w:rPr>
        <w:t xml:space="preserve"> </w:t>
      </w:r>
      <w:r>
        <w:rPr>
          <w:rStyle w:val="ssrfcpassagedeactivated"/>
          <w:rFonts w:ascii="Times New Roman" w:hAnsi="Times New Roman" w:cs="Times New Roman"/>
          <w:szCs w:val="24"/>
        </w:rPr>
        <w:t>t</w:t>
      </w:r>
      <w:r w:rsidRPr="00005F3A">
        <w:rPr>
          <w:rStyle w:val="ssrfcpassagedeactivated"/>
          <w:rFonts w:ascii="Times New Roman" w:hAnsi="Times New Roman" w:cs="Times New Roman"/>
          <w:szCs w:val="24"/>
        </w:rPr>
        <w:t xml:space="preserve">he Supreme Court of Virginia confirmed that expert </w:t>
      </w:r>
      <w:r w:rsidRPr="00005F3A">
        <w:rPr>
          <w:rStyle w:val="ssrfcpassagedeactivated"/>
          <w:rFonts w:ascii="Times New Roman" w:hAnsi="Times New Roman" w:cs="Times New Roman"/>
          <w:szCs w:val="24"/>
        </w:rPr>
        <w:t>opinion may not be admissible if the testimony is “</w:t>
      </w:r>
      <w:r w:rsidRPr="00005F3A">
        <w:rPr>
          <w:rFonts w:ascii="Times New Roman" w:hAnsi="Times New Roman" w:cs="Times New Roman"/>
          <w:szCs w:val="24"/>
          <w:shd w:val="clear" w:color="auto" w:fill="FFFFFF"/>
        </w:rPr>
        <w:t>founded upon assumptions that have no basis in fact,</w:t>
      </w:r>
      <w:r>
        <w:rPr>
          <w:rFonts w:ascii="Times New Roman" w:hAnsi="Times New Roman" w:cs="Times New Roman"/>
          <w:szCs w:val="24"/>
          <w:shd w:val="clear" w:color="auto" w:fill="FFFFFF"/>
        </w:rPr>
        <w:t>”</w:t>
      </w:r>
      <w:r w:rsidRPr="00005F3A">
        <w:rPr>
          <w:rFonts w:ascii="Times New Roman" w:hAnsi="Times New Roman" w:cs="Times New Roman"/>
          <w:szCs w:val="24"/>
          <w:shd w:val="clear" w:color="auto" w:fill="FFFFFF"/>
        </w:rPr>
        <w:t xml:space="preserve"> or if </w:t>
      </w:r>
      <w:r>
        <w:rPr>
          <w:rFonts w:ascii="Times New Roman" w:hAnsi="Times New Roman" w:cs="Times New Roman"/>
          <w:szCs w:val="24"/>
          <w:shd w:val="clear" w:color="auto" w:fill="FFFFFF"/>
        </w:rPr>
        <w:t>“</w:t>
      </w:r>
      <w:r w:rsidRPr="00005F3A">
        <w:rPr>
          <w:rFonts w:ascii="Times New Roman" w:hAnsi="Times New Roman" w:cs="Times New Roman"/>
          <w:szCs w:val="24"/>
          <w:shd w:val="clear" w:color="auto" w:fill="FFFFFF"/>
        </w:rPr>
        <w:t xml:space="preserve">the expert fails to consider all the variables that bear upon the inferences to be </w:t>
      </w:r>
      <w:r w:rsidRPr="00BA24C0">
        <w:rPr>
          <w:rFonts w:ascii="Times New Roman" w:hAnsi="Times New Roman" w:cs="Times New Roman"/>
          <w:szCs w:val="24"/>
          <w:shd w:val="clear" w:color="auto" w:fill="FFFFFF"/>
        </w:rPr>
        <w:t>deduced from the facts observed.</w:t>
      </w:r>
      <w:r>
        <w:rPr>
          <w:rFonts w:ascii="Times New Roman" w:hAnsi="Times New Roman" w:cs="Times New Roman"/>
          <w:szCs w:val="24"/>
          <w:shd w:val="clear" w:color="auto" w:fill="FFFFFF"/>
        </w:rPr>
        <w:t>”</w:t>
      </w:r>
      <w:r>
        <w:rPr>
          <w:rStyle w:val="FootnoteReference"/>
          <w:rFonts w:ascii="Times New Roman" w:hAnsi="Times New Roman" w:cs="Times New Roman"/>
          <w:szCs w:val="24"/>
          <w:shd w:val="clear" w:color="auto" w:fill="FFFFFF"/>
        </w:rPr>
        <w:footnoteReference w:id="28"/>
      </w:r>
      <w:r w:rsidRPr="00BA24C0">
        <w:rPr>
          <w:rFonts w:ascii="Times New Roman" w:hAnsi="Times New Roman" w:cs="Times New Roman"/>
          <w:szCs w:val="24"/>
          <w:shd w:val="clear" w:color="auto" w:fill="FFFFFF"/>
        </w:rPr>
        <w:t xml:space="preserve"> </w:t>
      </w:r>
      <w:r w:rsidRPr="00BA24C0">
        <w:rPr>
          <w:rFonts w:ascii="Times New Roman" w:hAnsi="Times New Roman" w:cs="Times New Roman"/>
          <w:szCs w:val="24"/>
        </w:rPr>
        <w:t>The Court noted that “[w]</w:t>
      </w:r>
      <w:r w:rsidRPr="00BA24C0">
        <w:rPr>
          <w:rFonts w:ascii="Times New Roman" w:hAnsi="Times New Roman" w:cs="Times New Roman"/>
          <w:szCs w:val="24"/>
          <w:shd w:val="clear" w:color="auto" w:fill="FFFFFF"/>
        </w:rPr>
        <w:t>hile Code § 8.01-401.1 allows an expert to express an opinion without initially disclosing the basis for the opinion, [w]e have never, however, construed that section to permit the admission of expert testimony that lacks evidentiary support.</w:t>
      </w:r>
      <w:r>
        <w:rPr>
          <w:rFonts w:ascii="Times New Roman" w:hAnsi="Times New Roman" w:cs="Times New Roman"/>
          <w:szCs w:val="24"/>
          <w:shd w:val="clear" w:color="auto" w:fill="FFFFFF"/>
        </w:rPr>
        <w:t>”</w:t>
      </w:r>
      <w:r>
        <w:rPr>
          <w:rStyle w:val="FootnoteReference"/>
          <w:rFonts w:ascii="Times New Roman" w:hAnsi="Times New Roman" w:cs="Times New Roman"/>
          <w:szCs w:val="24"/>
          <w:shd w:val="clear" w:color="auto" w:fill="FFFFFF"/>
        </w:rPr>
        <w:footnoteReference w:id="29"/>
      </w:r>
      <w:r>
        <w:rPr>
          <w:rFonts w:ascii="Times New Roman" w:hAnsi="Times New Roman" w:cs="Times New Roman"/>
          <w:szCs w:val="24"/>
          <w:shd w:val="clear" w:color="auto" w:fill="FFFFFF"/>
        </w:rPr>
        <w:t xml:space="preserve"> </w:t>
      </w:r>
      <w:r w:rsidRPr="00BA24C0">
        <w:rPr>
          <w:rFonts w:ascii="Times New Roman" w:hAnsi="Times New Roman" w:cs="Times New Roman"/>
          <w:szCs w:val="24"/>
          <w:shd w:val="clear" w:color="auto" w:fill="FFFFFF"/>
        </w:rPr>
        <w:t>The expert</w:t>
      </w:r>
      <w:r w:rsidRPr="00BA24C0">
        <w:rPr>
          <w:rFonts w:ascii="Times New Roman" w:hAnsi="Times New Roman" w:cs="Times New Roman"/>
          <w:szCs w:val="24"/>
          <w:shd w:val="clear" w:color="auto" w:fill="FFFFFF"/>
        </w:rPr>
        <w:t>’s opinion must</w:t>
      </w:r>
      <w:r w:rsidRPr="00005F3A">
        <w:rPr>
          <w:rFonts w:ascii="Times New Roman" w:hAnsi="Times New Roman" w:cs="Times New Roman"/>
          <w:szCs w:val="24"/>
          <w:shd w:val="clear" w:color="auto" w:fill="FFFFFF"/>
        </w:rPr>
        <w:t xml:space="preserve"> be premised upon assumptions that have a sufficient factual basis and take into account all relevant variables.</w:t>
      </w:r>
      <w:r>
        <w:rPr>
          <w:rStyle w:val="FootnoteReference"/>
          <w:rFonts w:ascii="Times New Roman" w:hAnsi="Times New Roman" w:cs="Times New Roman"/>
          <w:szCs w:val="24"/>
          <w:shd w:val="clear" w:color="auto" w:fill="FFFFFF"/>
        </w:rPr>
        <w:footnoteReference w:id="30"/>
      </w:r>
      <w:r w:rsidRPr="00005F3A">
        <w:rPr>
          <w:rFonts w:ascii="Times New Roman" w:hAnsi="Times New Roman" w:cs="Times New Roman"/>
          <w:szCs w:val="24"/>
        </w:rPr>
        <w:br/>
      </w:r>
    </w:p>
    <w:p w14:paraId="7568CE36" w14:textId="77777777" w:rsidR="00DE1819" w:rsidRPr="00005F3A" w:rsidRDefault="005D2842" w:rsidP="00377CDE">
      <w:pPr>
        <w:ind w:firstLine="576"/>
        <w:rPr>
          <w:rFonts w:ascii="Times New Roman" w:hAnsi="Times New Roman" w:cs="Times New Roman"/>
          <w:szCs w:val="24"/>
        </w:rPr>
      </w:pPr>
      <w:r>
        <w:rPr>
          <w:rFonts w:ascii="Times New Roman" w:hAnsi="Times New Roman" w:cs="Times New Roman"/>
          <w:szCs w:val="24"/>
          <w:shd w:val="clear" w:color="auto" w:fill="FFFFFF"/>
        </w:rPr>
        <w:t xml:space="preserve">Similarly in </w:t>
      </w:r>
      <w:r w:rsidRPr="00431786">
        <w:rPr>
          <w:rFonts w:ascii="Times New Roman" w:hAnsi="Times New Roman" w:cs="Times New Roman"/>
          <w:szCs w:val="24"/>
          <w:u w:val="single"/>
          <w:shd w:val="clear" w:color="auto" w:fill="FFFFFF"/>
        </w:rPr>
        <w:t>McMunn</w:t>
      </w:r>
      <w:r>
        <w:rPr>
          <w:rFonts w:ascii="Times New Roman" w:hAnsi="Times New Roman" w:cs="Times New Roman"/>
          <w:szCs w:val="24"/>
          <w:shd w:val="clear" w:color="auto" w:fill="FFFFFF"/>
        </w:rPr>
        <w:t xml:space="preserve">, the </w:t>
      </w:r>
      <w:r>
        <w:rPr>
          <w:rFonts w:ascii="Times New Roman" w:hAnsi="Times New Roman" w:cs="Times New Roman"/>
          <w:szCs w:val="24"/>
          <w:shd w:val="clear" w:color="auto" w:fill="FFFFFF"/>
        </w:rPr>
        <w:t>Court held that “C</w:t>
      </w:r>
      <w:r w:rsidRPr="00005F3A">
        <w:rPr>
          <w:rFonts w:ascii="Times New Roman" w:hAnsi="Times New Roman" w:cs="Times New Roman"/>
          <w:szCs w:val="24"/>
          <w:shd w:val="clear" w:color="auto" w:fill="FFFFFF"/>
        </w:rPr>
        <w:t xml:space="preserve">ode § 8.01-401.1 does not authorize the admission in evidence, upon the </w:t>
      </w:r>
      <w:r w:rsidRPr="00005F3A">
        <w:rPr>
          <w:rFonts w:ascii="Times New Roman" w:hAnsi="Times New Roman" w:cs="Times New Roman"/>
          <w:szCs w:val="24"/>
          <w:shd w:val="clear" w:color="auto" w:fill="FFFFFF"/>
        </w:rPr>
        <w:t>direct examination of an expert witness, of hearsay matters of opinion upon which the expert relied in reaching his own opinion, notwithstanding the fact that the opinion of the expert witness is itself admitted, and notwithstanding the fact that the hears</w:t>
      </w:r>
      <w:r w:rsidRPr="00005F3A">
        <w:rPr>
          <w:rFonts w:ascii="Times New Roman" w:hAnsi="Times New Roman" w:cs="Times New Roman"/>
          <w:szCs w:val="24"/>
          <w:shd w:val="clear" w:color="auto" w:fill="FFFFFF"/>
        </w:rPr>
        <w:t>ay is of a type normally relied upon by others in the witness' particular field of expertise</w:t>
      </w:r>
      <w:r>
        <w:rPr>
          <w:rFonts w:ascii="Times New Roman" w:hAnsi="Times New Roman" w:cs="Times New Roman"/>
          <w:szCs w:val="24"/>
          <w:shd w:val="clear" w:color="auto" w:fill="FFFFFF"/>
        </w:rPr>
        <w:t xml:space="preserve">.” </w:t>
      </w:r>
      <w:r>
        <w:rPr>
          <w:rStyle w:val="FootnoteReference"/>
          <w:rFonts w:ascii="Times New Roman" w:hAnsi="Times New Roman" w:cs="Times New Roman"/>
          <w:szCs w:val="24"/>
          <w:shd w:val="clear" w:color="auto" w:fill="FFFFFF"/>
        </w:rPr>
        <w:footnoteReference w:id="31"/>
      </w:r>
    </w:p>
    <w:p w14:paraId="50BBE98C" w14:textId="77777777" w:rsidR="00DE1819" w:rsidRPr="006A2BB7" w:rsidRDefault="005D2842" w:rsidP="00205694">
      <w:pPr>
        <w:ind w:left="1080"/>
        <w:rPr>
          <w:rStyle w:val="ssrfcpassagedeactivated"/>
          <w:rFonts w:ascii="Times New Roman" w:hAnsi="Times New Roman" w:cs="Times New Roman"/>
          <w:szCs w:val="24"/>
        </w:rPr>
      </w:pPr>
    </w:p>
    <w:p w14:paraId="53FB8A7B" w14:textId="77777777" w:rsidR="001B4A5B" w:rsidRDefault="005D2842" w:rsidP="00431786">
      <w:pPr>
        <w:ind w:firstLine="576"/>
        <w:rPr>
          <w:rStyle w:val="ssrfcpassagedeactivated"/>
          <w:rFonts w:ascii="Times New Roman" w:hAnsi="Times New Roman" w:cs="Times New Roman"/>
          <w:szCs w:val="24"/>
          <w:bdr w:val="none" w:sz="0" w:space="0" w:color="auto" w:frame="1"/>
          <w:shd w:val="clear" w:color="auto" w:fill="FFFFFF"/>
        </w:rPr>
      </w:pPr>
      <w:r w:rsidRPr="006A2BB7">
        <w:rPr>
          <w:rFonts w:ascii="Times New Roman" w:hAnsi="Times New Roman" w:cs="Times New Roman"/>
          <w:szCs w:val="24"/>
        </w:rPr>
        <w:lastRenderedPageBreak/>
        <w:t xml:space="preserve">Furthermore, in </w:t>
      </w:r>
      <w:hyperlink r:id="rId13" w:history="1">
        <w:r w:rsidRPr="00431786">
          <w:rPr>
            <w:rStyle w:val="Hyperlink"/>
            <w:rFonts w:ascii="Times New Roman" w:hAnsi="Times New Roman" w:cs="Times New Roman"/>
            <w:color w:val="auto"/>
            <w:szCs w:val="24"/>
            <w:bdr w:val="none" w:sz="0" w:space="0" w:color="auto" w:frame="1"/>
            <w:shd w:val="clear" w:color="auto" w:fill="FFFFFF"/>
          </w:rPr>
          <w:t xml:space="preserve">Castillo v. Loudoun </w:t>
        </w:r>
        <w:proofErr w:type="spellStart"/>
        <w:r w:rsidRPr="00431786">
          <w:rPr>
            <w:rStyle w:val="Hyperlink"/>
            <w:rFonts w:ascii="Times New Roman" w:hAnsi="Times New Roman" w:cs="Times New Roman"/>
            <w:color w:val="auto"/>
            <w:szCs w:val="24"/>
            <w:bdr w:val="none" w:sz="0" w:space="0" w:color="auto" w:frame="1"/>
            <w:shd w:val="clear" w:color="auto" w:fill="FFFFFF"/>
          </w:rPr>
          <w:t>Cty</w:t>
        </w:r>
        <w:proofErr w:type="spellEnd"/>
        <w:r w:rsidRPr="00431786">
          <w:rPr>
            <w:rStyle w:val="Hyperlink"/>
            <w:rFonts w:ascii="Times New Roman" w:hAnsi="Times New Roman" w:cs="Times New Roman"/>
            <w:color w:val="auto"/>
            <w:szCs w:val="24"/>
            <w:bdr w:val="none" w:sz="0" w:space="0" w:color="auto" w:frame="1"/>
            <w:shd w:val="clear" w:color="auto" w:fill="FFFFFF"/>
          </w:rPr>
          <w:t>. Dep</w:t>
        </w:r>
        <w:r w:rsidRPr="00431786">
          <w:rPr>
            <w:rStyle w:val="Hyperlink"/>
            <w:rFonts w:ascii="Times New Roman" w:hAnsi="Times New Roman" w:cs="Times New Roman"/>
            <w:color w:val="auto"/>
            <w:szCs w:val="24"/>
            <w:bdr w:val="none" w:sz="0" w:space="0" w:color="auto" w:frame="1"/>
            <w:shd w:val="clear" w:color="auto" w:fill="FFFFFF"/>
          </w:rPr>
          <w:t>’</w:t>
        </w:r>
        <w:r w:rsidRPr="00431786">
          <w:rPr>
            <w:rStyle w:val="Hyperlink"/>
            <w:rFonts w:ascii="Times New Roman" w:hAnsi="Times New Roman" w:cs="Times New Roman"/>
            <w:color w:val="auto"/>
            <w:szCs w:val="24"/>
            <w:bdr w:val="none" w:sz="0" w:space="0" w:color="auto" w:frame="1"/>
            <w:shd w:val="clear" w:color="auto" w:fill="FFFFFF"/>
          </w:rPr>
          <w:t>t of Family Servs</w:t>
        </w:r>
        <w:r w:rsidRPr="006A2BB7">
          <w:rPr>
            <w:rStyle w:val="Hyperlink"/>
            <w:rFonts w:ascii="Times New Roman" w:hAnsi="Times New Roman" w:cs="Times New Roman"/>
            <w:color w:val="auto"/>
            <w:szCs w:val="24"/>
            <w:u w:val="none"/>
            <w:bdr w:val="none" w:sz="0" w:space="0" w:color="auto" w:frame="1"/>
            <w:shd w:val="clear" w:color="auto" w:fill="FFFFFF"/>
          </w:rPr>
          <w:t>.</w:t>
        </w:r>
        <w:r w:rsidRPr="006A2BB7">
          <w:rPr>
            <w:rStyle w:val="Hyperlink"/>
            <w:rFonts w:ascii="Times New Roman" w:hAnsi="Times New Roman" w:cs="Times New Roman"/>
            <w:color w:val="auto"/>
            <w:szCs w:val="24"/>
            <w:u w:val="none"/>
            <w:bdr w:val="none" w:sz="0" w:space="0" w:color="auto" w:frame="1"/>
            <w:shd w:val="clear" w:color="auto" w:fill="FFFFFF"/>
          </w:rPr>
          <w:t xml:space="preserve">, </w:t>
        </w:r>
      </w:hyperlink>
      <w:r w:rsidRPr="006A2BB7">
        <w:rPr>
          <w:rStyle w:val="ssrfcpassagedeactivated"/>
          <w:rFonts w:ascii="Times New Roman" w:hAnsi="Times New Roman" w:cs="Times New Roman"/>
          <w:szCs w:val="24"/>
          <w:bdr w:val="none" w:sz="0" w:space="0" w:color="auto" w:frame="1"/>
          <w:shd w:val="clear" w:color="auto" w:fill="FFFFFF"/>
        </w:rPr>
        <w:t xml:space="preserve">the Court noted that </w:t>
      </w:r>
      <w:r w:rsidRPr="006A2BB7">
        <w:rPr>
          <w:rStyle w:val="ssrfcpassagedeactivated"/>
          <w:rFonts w:ascii="Times New Roman" w:hAnsi="Times New Roman" w:cs="Times New Roman"/>
          <w:szCs w:val="24"/>
          <w:bdr w:val="none" w:sz="0" w:space="0" w:color="auto" w:frame="1"/>
          <w:shd w:val="clear" w:color="auto" w:fill="FFFFFF"/>
        </w:rPr>
        <w:t>“Rule 2:703(a) permits</w:t>
      </w:r>
      <w:r w:rsidRPr="006A2BB7">
        <w:rPr>
          <w:rStyle w:val="ssrfcpassagedeactivated"/>
          <w:rFonts w:ascii="Times New Roman" w:hAnsi="Times New Roman" w:cs="Times New Roman"/>
          <w:szCs w:val="24"/>
          <w:bdr w:val="none" w:sz="0" w:space="0" w:color="auto" w:frame="1"/>
          <w:shd w:val="clear" w:color="auto" w:fill="FFFFFF"/>
        </w:rPr>
        <w:t xml:space="preserve"> expert </w:t>
      </w:r>
      <w:r w:rsidRPr="006A2BB7">
        <w:rPr>
          <w:rStyle w:val="ssrfcpassagedeactivated"/>
          <w:rFonts w:ascii="Times New Roman" w:hAnsi="Times New Roman" w:cs="Times New Roman"/>
          <w:szCs w:val="24"/>
          <w:bdr w:val="none" w:sz="0" w:space="0" w:color="auto" w:frame="1"/>
          <w:shd w:val="clear" w:color="auto" w:fill="FFFFFF"/>
        </w:rPr>
        <w:t xml:space="preserve">witnesses in civil cases to base opinion testimony on any material normally relied upon by others in that field, even if </w:t>
      </w:r>
      <w:r w:rsidRPr="006A2BB7">
        <w:rPr>
          <w:rStyle w:val="ssrfcpassagedeactivated"/>
          <w:rFonts w:ascii="Times New Roman" w:hAnsi="Times New Roman" w:cs="Times New Roman"/>
          <w:szCs w:val="24"/>
          <w:bdr w:val="none" w:sz="0" w:space="0" w:color="auto" w:frame="1"/>
          <w:shd w:val="clear" w:color="auto" w:fill="FFFFFF"/>
        </w:rPr>
        <w:t>that information is inadmissible </w:t>
      </w:r>
      <w:r w:rsidRPr="006A2BB7">
        <w:rPr>
          <w:rStyle w:val="sssh"/>
          <w:rFonts w:ascii="Times New Roman" w:hAnsi="Times New Roman" w:cs="Times New Roman"/>
          <w:szCs w:val="24"/>
          <w:bdr w:val="none" w:sz="0" w:space="0" w:color="auto" w:frame="1"/>
          <w:shd w:val="clear" w:color="auto" w:fill="FFFFFF"/>
        </w:rPr>
        <w:t>in evidence</w:t>
      </w:r>
      <w:r w:rsidRPr="006A2BB7">
        <w:rPr>
          <w:rStyle w:val="ssrfcpassagedeactivated"/>
          <w:rFonts w:ascii="Times New Roman" w:hAnsi="Times New Roman" w:cs="Times New Roman"/>
          <w:szCs w:val="24"/>
          <w:bdr w:val="none" w:sz="0" w:space="0" w:color="auto" w:frame="1"/>
          <w:shd w:val="clear" w:color="auto" w:fill="FFFFFF"/>
        </w:rPr>
        <w:t>.</w:t>
      </w:r>
      <w:r w:rsidRPr="006A2BB7">
        <w:rPr>
          <w:rStyle w:val="ssrfcpassagedeactivated"/>
          <w:rFonts w:ascii="Times New Roman" w:hAnsi="Times New Roman" w:cs="Times New Roman"/>
          <w:szCs w:val="24"/>
          <w:bdr w:val="none" w:sz="0" w:space="0" w:color="auto" w:frame="1"/>
          <w:shd w:val="clear" w:color="auto" w:fill="FFFFFF"/>
        </w:rPr>
        <w:t>”</w:t>
      </w:r>
      <w:r>
        <w:rPr>
          <w:rStyle w:val="FootnoteReference"/>
          <w:rFonts w:ascii="Times New Roman" w:hAnsi="Times New Roman" w:cs="Times New Roman"/>
          <w:szCs w:val="24"/>
          <w:bdr w:val="none" w:sz="0" w:space="0" w:color="auto" w:frame="1"/>
          <w:shd w:val="clear" w:color="auto" w:fill="FFFFFF"/>
        </w:rPr>
        <w:footnoteReference w:id="32"/>
      </w:r>
      <w:r>
        <w:rPr>
          <w:rStyle w:val="ssrfcpassagedeactivated"/>
          <w:rFonts w:ascii="Times New Roman" w:hAnsi="Times New Roman" w:cs="Times New Roman"/>
          <w:szCs w:val="24"/>
          <w:bdr w:val="none" w:sz="0" w:space="0" w:color="auto" w:frame="1"/>
          <w:shd w:val="clear" w:color="auto" w:fill="FFFFFF"/>
        </w:rPr>
        <w:t xml:space="preserve"> </w:t>
      </w:r>
      <w:r w:rsidRPr="006A2BB7">
        <w:rPr>
          <w:rStyle w:val="ssrfcpassagedeactivated"/>
          <w:rFonts w:ascii="Times New Roman" w:hAnsi="Times New Roman" w:cs="Times New Roman"/>
          <w:szCs w:val="24"/>
          <w:bdr w:val="none" w:sz="0" w:space="0" w:color="auto" w:frame="1"/>
          <w:shd w:val="clear" w:color="auto" w:fill="FFFFFF"/>
        </w:rPr>
        <w:t>However, it is important to note that Rule 2:703(a), “</w:t>
      </w:r>
      <w:r w:rsidRPr="006A2BB7">
        <w:rPr>
          <w:rStyle w:val="ssrfcpassagedeactivated"/>
          <w:rFonts w:ascii="Times New Roman" w:hAnsi="Times New Roman" w:cs="Times New Roman"/>
          <w:szCs w:val="24"/>
          <w:bdr w:val="none" w:sz="0" w:space="0" w:color="auto" w:frame="1"/>
          <w:shd w:val="clear" w:color="auto" w:fill="FFFFFF"/>
        </w:rPr>
        <w:t>derived from Code § 8.01-401.1, does not provide </w:t>
      </w:r>
      <w:r w:rsidRPr="006A2BB7">
        <w:rPr>
          <w:rStyle w:val="ssit"/>
          <w:rFonts w:ascii="Times New Roman" w:hAnsi="Times New Roman" w:cs="Times New Roman"/>
          <w:i/>
          <w:iCs/>
          <w:szCs w:val="24"/>
          <w:bdr w:val="none" w:sz="0" w:space="0" w:color="auto" w:frame="1"/>
          <w:shd w:val="clear" w:color="auto" w:fill="FFFFFF"/>
        </w:rPr>
        <w:t>carte blanche</w:t>
      </w:r>
      <w:r w:rsidRPr="006A2BB7">
        <w:rPr>
          <w:rStyle w:val="ssrfcpassagedeactivated"/>
          <w:rFonts w:ascii="Times New Roman" w:hAnsi="Times New Roman" w:cs="Times New Roman"/>
          <w:szCs w:val="24"/>
          <w:bdr w:val="none" w:sz="0" w:space="0" w:color="auto" w:frame="1"/>
          <w:shd w:val="clear" w:color="auto" w:fill="FFFFFF"/>
        </w:rPr>
        <w:t xml:space="preserve"> for litigants to introduce otherwise inadmissible material in derogation of the </w:t>
      </w:r>
      <w:r w:rsidRPr="006A2BB7">
        <w:rPr>
          <w:rStyle w:val="ssrfcpassagedeactivated"/>
          <w:rFonts w:ascii="Times New Roman" w:hAnsi="Times New Roman" w:cs="Times New Roman"/>
          <w:szCs w:val="24"/>
          <w:bdr w:val="none" w:sz="0" w:space="0" w:color="auto" w:frame="1"/>
          <w:shd w:val="clear" w:color="auto" w:fill="FFFFFF"/>
        </w:rPr>
        <w:t>ordinary rules of evidence.</w:t>
      </w:r>
      <w:r w:rsidRPr="006A2BB7">
        <w:rPr>
          <w:rStyle w:val="ssrfcpassagedeactivated"/>
          <w:rFonts w:ascii="Times New Roman" w:hAnsi="Times New Roman" w:cs="Times New Roman"/>
          <w:szCs w:val="24"/>
          <w:bdr w:val="none" w:sz="0" w:space="0" w:color="auto" w:frame="1"/>
          <w:shd w:val="clear" w:color="auto" w:fill="FFFFFF"/>
        </w:rPr>
        <w:t xml:space="preserve">” </w:t>
      </w:r>
      <w:r>
        <w:rPr>
          <w:rStyle w:val="FootnoteReference"/>
          <w:rFonts w:ascii="Times New Roman" w:hAnsi="Times New Roman" w:cs="Times New Roman"/>
          <w:szCs w:val="24"/>
          <w:bdr w:val="none" w:sz="0" w:space="0" w:color="auto" w:frame="1"/>
          <w:shd w:val="clear" w:color="auto" w:fill="FFFFFF"/>
        </w:rPr>
        <w:footnoteReference w:id="33"/>
      </w:r>
      <w:r w:rsidRPr="006A2BB7">
        <w:rPr>
          <w:rStyle w:val="ssrfcpassagedeactivated"/>
          <w:rFonts w:ascii="Times New Roman" w:hAnsi="Times New Roman" w:cs="Times New Roman"/>
          <w:szCs w:val="24"/>
          <w:bdr w:val="none" w:sz="0" w:space="0" w:color="auto" w:frame="1"/>
          <w:shd w:val="clear" w:color="auto" w:fill="FFFFFF"/>
        </w:rPr>
        <w:t xml:space="preserve"> As the Court explained, “</w:t>
      </w:r>
      <w:r w:rsidRPr="006A2BB7">
        <w:rPr>
          <w:rStyle w:val="ssrfcpassagedeactivated"/>
          <w:rFonts w:ascii="Times New Roman" w:hAnsi="Times New Roman" w:cs="Times New Roman"/>
          <w:szCs w:val="24"/>
          <w:bdr w:val="none" w:sz="0" w:space="0" w:color="auto" w:frame="1"/>
          <w:shd w:val="clear" w:color="auto" w:fill="FFFFFF"/>
        </w:rPr>
        <w:t>the Supreme Court has ruled that Code § 8.01-401.1 </w:t>
      </w:r>
      <w:r w:rsidRPr="006A2BB7">
        <w:rPr>
          <w:rStyle w:val="ssrfcpassagedeactivated"/>
          <w:rFonts w:ascii="Times New Roman" w:hAnsi="Times New Roman" w:cs="Times New Roman"/>
          <w:szCs w:val="24"/>
          <w:bdr w:val="none" w:sz="0" w:space="0" w:color="auto" w:frame="1"/>
          <w:shd w:val="clear" w:color="auto" w:fill="FFFFFF"/>
        </w:rPr>
        <w:t>‘</w:t>
      </w:r>
      <w:r w:rsidRPr="006A2BB7">
        <w:rPr>
          <w:rStyle w:val="ssrfcpassagedeactivated"/>
          <w:rFonts w:ascii="Times New Roman" w:hAnsi="Times New Roman" w:cs="Times New Roman"/>
          <w:szCs w:val="24"/>
          <w:bdr w:val="none" w:sz="0" w:space="0" w:color="auto" w:frame="1"/>
          <w:shd w:val="clear" w:color="auto" w:fill="FFFFFF"/>
        </w:rPr>
        <w:t>does not authorize the admission </w:t>
      </w:r>
      <w:r w:rsidRPr="006A2BB7">
        <w:rPr>
          <w:rStyle w:val="sssh"/>
          <w:rFonts w:ascii="Times New Roman" w:hAnsi="Times New Roman" w:cs="Times New Roman"/>
          <w:szCs w:val="24"/>
          <w:bdr w:val="none" w:sz="0" w:space="0" w:color="auto" w:frame="1"/>
          <w:shd w:val="clear" w:color="auto" w:fill="FFFFFF"/>
        </w:rPr>
        <w:t>in evidence</w:t>
      </w:r>
      <w:r w:rsidRPr="006A2BB7">
        <w:rPr>
          <w:rStyle w:val="ssrfcpassagedeactivated"/>
          <w:rFonts w:ascii="Times New Roman" w:hAnsi="Times New Roman" w:cs="Times New Roman"/>
          <w:szCs w:val="24"/>
          <w:bdr w:val="none" w:sz="0" w:space="0" w:color="auto" w:frame="1"/>
          <w:shd w:val="clear" w:color="auto" w:fill="FFFFFF"/>
        </w:rPr>
        <w:t>, upon the </w:t>
      </w:r>
      <w:r w:rsidRPr="006A2BB7">
        <w:rPr>
          <w:rStyle w:val="sssh"/>
          <w:rFonts w:ascii="Times New Roman" w:hAnsi="Times New Roman" w:cs="Times New Roman"/>
          <w:szCs w:val="24"/>
          <w:bdr w:val="none" w:sz="0" w:space="0" w:color="auto" w:frame="1"/>
          <w:shd w:val="clear" w:color="auto" w:fill="FFFFFF"/>
        </w:rPr>
        <w:t>direct examination</w:t>
      </w:r>
      <w:r w:rsidRPr="006A2BB7">
        <w:rPr>
          <w:rStyle w:val="ssrfcpassagedeactivated"/>
          <w:rFonts w:ascii="Times New Roman" w:hAnsi="Times New Roman" w:cs="Times New Roman"/>
          <w:szCs w:val="24"/>
          <w:bdr w:val="none" w:sz="0" w:space="0" w:color="auto" w:frame="1"/>
          <w:shd w:val="clear" w:color="auto" w:fill="FFFFFF"/>
        </w:rPr>
        <w:t> of an </w:t>
      </w:r>
      <w:r w:rsidRPr="006A2BB7">
        <w:rPr>
          <w:rStyle w:val="sssh"/>
          <w:rFonts w:ascii="Times New Roman" w:hAnsi="Times New Roman" w:cs="Times New Roman"/>
          <w:szCs w:val="24"/>
          <w:bdr w:val="none" w:sz="0" w:space="0" w:color="auto" w:frame="1"/>
          <w:shd w:val="clear" w:color="auto" w:fill="FFFFFF"/>
        </w:rPr>
        <w:t>expert</w:t>
      </w:r>
      <w:r w:rsidRPr="006A2BB7">
        <w:rPr>
          <w:rStyle w:val="ssrfcpassagedeactivated"/>
          <w:rFonts w:ascii="Times New Roman" w:hAnsi="Times New Roman" w:cs="Times New Roman"/>
          <w:szCs w:val="24"/>
          <w:bdr w:val="none" w:sz="0" w:space="0" w:color="auto" w:frame="1"/>
          <w:shd w:val="clear" w:color="auto" w:fill="FFFFFF"/>
        </w:rPr>
        <w:t> witness, of </w:t>
      </w:r>
      <w:r w:rsidRPr="006A2BB7">
        <w:rPr>
          <w:rStyle w:val="sssh"/>
          <w:rFonts w:ascii="Times New Roman" w:hAnsi="Times New Roman" w:cs="Times New Roman"/>
          <w:szCs w:val="24"/>
          <w:bdr w:val="none" w:sz="0" w:space="0" w:color="auto" w:frame="1"/>
          <w:shd w:val="clear" w:color="auto" w:fill="FFFFFF"/>
        </w:rPr>
        <w:t>hearsay</w:t>
      </w:r>
      <w:r w:rsidRPr="006A2BB7">
        <w:rPr>
          <w:rStyle w:val="ssrfcpassagedeactivated"/>
          <w:rFonts w:ascii="Times New Roman" w:hAnsi="Times New Roman" w:cs="Times New Roman"/>
          <w:szCs w:val="24"/>
          <w:bdr w:val="none" w:sz="0" w:space="0" w:color="auto" w:frame="1"/>
          <w:shd w:val="clear" w:color="auto" w:fill="FFFFFF"/>
        </w:rPr>
        <w:t> </w:t>
      </w:r>
      <w:r w:rsidRPr="006A2BB7">
        <w:rPr>
          <w:rStyle w:val="sssh"/>
          <w:rFonts w:ascii="Times New Roman" w:hAnsi="Times New Roman" w:cs="Times New Roman"/>
          <w:szCs w:val="24"/>
          <w:bdr w:val="none" w:sz="0" w:space="0" w:color="auto" w:frame="1"/>
          <w:shd w:val="clear" w:color="auto" w:fill="FFFFFF"/>
        </w:rPr>
        <w:t>matters of opinion</w:t>
      </w:r>
      <w:r w:rsidRPr="006A2BB7">
        <w:rPr>
          <w:rStyle w:val="ssrfcpassagedeactivated"/>
          <w:rFonts w:ascii="Times New Roman" w:hAnsi="Times New Roman" w:cs="Times New Roman"/>
          <w:szCs w:val="24"/>
          <w:bdr w:val="none" w:sz="0" w:space="0" w:color="auto" w:frame="1"/>
          <w:shd w:val="clear" w:color="auto" w:fill="FFFFFF"/>
        </w:rPr>
        <w:t> upon which the </w:t>
      </w:r>
      <w:r w:rsidRPr="006A2BB7">
        <w:rPr>
          <w:rStyle w:val="sssh"/>
          <w:rFonts w:ascii="Times New Roman" w:hAnsi="Times New Roman" w:cs="Times New Roman"/>
          <w:szCs w:val="24"/>
          <w:bdr w:val="none" w:sz="0" w:space="0" w:color="auto" w:frame="1"/>
          <w:shd w:val="clear" w:color="auto" w:fill="FFFFFF"/>
        </w:rPr>
        <w:t>expert</w:t>
      </w:r>
      <w:r w:rsidRPr="006A2BB7">
        <w:rPr>
          <w:rStyle w:val="ssrfcpassagedeactivated"/>
          <w:rFonts w:ascii="Times New Roman" w:hAnsi="Times New Roman" w:cs="Times New Roman"/>
          <w:szCs w:val="24"/>
          <w:bdr w:val="none" w:sz="0" w:space="0" w:color="auto" w:frame="1"/>
          <w:shd w:val="clear" w:color="auto" w:fill="FFFFFF"/>
        </w:rPr>
        <w:t> relied </w:t>
      </w:r>
      <w:r w:rsidRPr="006A2BB7">
        <w:rPr>
          <w:rStyle w:val="sssh"/>
          <w:rFonts w:ascii="Times New Roman" w:hAnsi="Times New Roman" w:cs="Times New Roman"/>
          <w:szCs w:val="24"/>
          <w:bdr w:val="none" w:sz="0" w:space="0" w:color="auto" w:frame="1"/>
          <w:shd w:val="clear" w:color="auto" w:fill="FFFFFF"/>
        </w:rPr>
        <w:t>in reaching</w:t>
      </w:r>
      <w:r w:rsidRPr="006A2BB7">
        <w:rPr>
          <w:rStyle w:val="ssrfcpassagedeactivated"/>
          <w:rFonts w:ascii="Times New Roman" w:hAnsi="Times New Roman" w:cs="Times New Roman"/>
          <w:szCs w:val="24"/>
          <w:bdr w:val="none" w:sz="0" w:space="0" w:color="auto" w:frame="1"/>
          <w:shd w:val="clear" w:color="auto" w:fill="FFFFFF"/>
        </w:rPr>
        <w:t> his own opinion.</w:t>
      </w:r>
      <w:r w:rsidRPr="006A2BB7">
        <w:rPr>
          <w:rStyle w:val="ssrfcpassagedeactivated"/>
          <w:rFonts w:ascii="Times New Roman" w:hAnsi="Times New Roman" w:cs="Times New Roman"/>
          <w:szCs w:val="24"/>
          <w:bdr w:val="none" w:sz="0" w:space="0" w:color="auto" w:frame="1"/>
          <w:shd w:val="clear" w:color="auto" w:fill="FFFFFF"/>
        </w:rPr>
        <w:t>’”</w:t>
      </w:r>
      <w:r w:rsidRPr="006A2BB7">
        <w:rPr>
          <w:rStyle w:val="ssrfcpassagedeactivated"/>
          <w:rFonts w:ascii="Times New Roman" w:hAnsi="Times New Roman" w:cs="Times New Roman"/>
          <w:szCs w:val="24"/>
          <w:bdr w:val="none" w:sz="0" w:space="0" w:color="auto" w:frame="1"/>
          <w:shd w:val="clear" w:color="auto" w:fill="FFFFFF"/>
        </w:rPr>
        <w:t> </w:t>
      </w:r>
      <w:r>
        <w:rPr>
          <w:rStyle w:val="FootnoteReference"/>
          <w:rFonts w:ascii="Times New Roman" w:hAnsi="Times New Roman" w:cs="Times New Roman"/>
          <w:szCs w:val="24"/>
          <w:bdr w:val="none" w:sz="0" w:space="0" w:color="auto" w:frame="1"/>
          <w:shd w:val="clear" w:color="auto" w:fill="FFFFFF"/>
        </w:rPr>
        <w:footnoteReference w:id="34"/>
      </w:r>
      <w:r w:rsidRPr="006A2BB7">
        <w:rPr>
          <w:rStyle w:val="ssrfcpassagedeactivated"/>
          <w:rFonts w:ascii="Times New Roman" w:hAnsi="Times New Roman" w:cs="Times New Roman"/>
          <w:szCs w:val="24"/>
          <w:bdr w:val="none" w:sz="0" w:space="0" w:color="auto" w:frame="1"/>
          <w:shd w:val="clear" w:color="auto" w:fill="FFFFFF"/>
        </w:rPr>
        <w:t> </w:t>
      </w:r>
      <w:r>
        <w:rPr>
          <w:rStyle w:val="ssrfcpassagedeactivated"/>
          <w:rFonts w:ascii="Times New Roman" w:hAnsi="Times New Roman" w:cs="Times New Roman"/>
          <w:szCs w:val="24"/>
          <w:bdr w:val="none" w:sz="0" w:space="0" w:color="auto" w:frame="1"/>
          <w:shd w:val="clear" w:color="auto" w:fill="FFFFFF"/>
        </w:rPr>
        <w:t xml:space="preserve">These holdings suggest that it is essential to consider hearsay rules when discussing experts’ testimony. </w:t>
      </w:r>
      <w:r w:rsidRPr="006A2BB7">
        <w:rPr>
          <w:rStyle w:val="ssrfcpassagedeactivated"/>
          <w:rFonts w:ascii="Times New Roman" w:hAnsi="Times New Roman" w:cs="Times New Roman"/>
          <w:szCs w:val="24"/>
          <w:bdr w:val="none" w:sz="0" w:space="0" w:color="auto" w:frame="1"/>
          <w:shd w:val="clear" w:color="auto" w:fill="FFFFFF"/>
        </w:rPr>
        <w:t xml:space="preserve"> </w:t>
      </w:r>
    </w:p>
    <w:p w14:paraId="73FC7CBA" w14:textId="77777777" w:rsidR="003460C4" w:rsidRDefault="005D2842" w:rsidP="00431786">
      <w:pPr>
        <w:ind w:firstLine="576"/>
        <w:rPr>
          <w:rStyle w:val="ssrfcpassagedeactivated"/>
          <w:rFonts w:ascii="Times New Roman" w:hAnsi="Times New Roman" w:cs="Times New Roman"/>
          <w:szCs w:val="24"/>
          <w:bdr w:val="none" w:sz="0" w:space="0" w:color="auto" w:frame="1"/>
          <w:shd w:val="clear" w:color="auto" w:fill="FFFFFF"/>
        </w:rPr>
      </w:pPr>
    </w:p>
    <w:p w14:paraId="3849E8ED" w14:textId="77777777" w:rsidR="003460C4" w:rsidRPr="0001390E" w:rsidRDefault="005D2842" w:rsidP="00431786">
      <w:pPr>
        <w:ind w:firstLine="576"/>
        <w:rPr>
          <w:rFonts w:ascii="Times New Roman" w:hAnsi="Times New Roman" w:cs="Times New Roman"/>
          <w:szCs w:val="24"/>
        </w:rPr>
      </w:pPr>
      <w:r w:rsidRPr="0046545B">
        <w:rPr>
          <w:rStyle w:val="ssrfcpassagedeactivated"/>
          <w:rFonts w:ascii="Times New Roman" w:hAnsi="Times New Roman" w:cs="Times New Roman"/>
          <w:szCs w:val="24"/>
          <w:bdr w:val="none" w:sz="0" w:space="0" w:color="auto" w:frame="1"/>
          <w:shd w:val="clear" w:color="auto" w:fill="FFFFFF"/>
        </w:rPr>
        <w:t xml:space="preserve">Life care plans will not be admitted into evidence if the expert testimony is “speculative or </w:t>
      </w:r>
      <w:r w:rsidRPr="0046545B">
        <w:rPr>
          <w:rStyle w:val="ssrfcpassagedeactivated"/>
          <w:rFonts w:ascii="Times New Roman" w:hAnsi="Times New Roman" w:cs="Times New Roman"/>
          <w:szCs w:val="24"/>
          <w:bdr w:val="none" w:sz="0" w:space="0" w:color="auto" w:frame="1"/>
          <w:shd w:val="clear" w:color="auto" w:fill="FFFFFF"/>
        </w:rPr>
        <w:t>founded on assumptions that have no basis in fact.”</w:t>
      </w:r>
      <w:r>
        <w:rPr>
          <w:rStyle w:val="FootnoteReference"/>
          <w:rFonts w:ascii="Times New Roman" w:hAnsi="Times New Roman" w:cs="Times New Roman"/>
          <w:szCs w:val="24"/>
          <w:bdr w:val="none" w:sz="0" w:space="0" w:color="auto" w:frame="1"/>
          <w:shd w:val="clear" w:color="auto" w:fill="FFFFFF"/>
        </w:rPr>
        <w:footnoteReference w:id="35"/>
      </w:r>
      <w:r w:rsidRPr="0046545B">
        <w:rPr>
          <w:rStyle w:val="ssrfcpassagedeactivated"/>
          <w:rFonts w:ascii="Times New Roman" w:hAnsi="Times New Roman" w:cs="Times New Roman"/>
          <w:szCs w:val="24"/>
          <w:bdr w:val="none" w:sz="0" w:space="0" w:color="auto" w:frame="1"/>
          <w:shd w:val="clear" w:color="auto" w:fill="FFFFFF"/>
        </w:rPr>
        <w:t xml:space="preserve"> </w:t>
      </w:r>
      <w:r w:rsidRPr="0046545B">
        <w:rPr>
          <w:rFonts w:ascii="Times New Roman" w:hAnsi="Times New Roman" w:cs="Times New Roman"/>
          <w:szCs w:val="24"/>
        </w:rPr>
        <w:t xml:space="preserve">It must </w:t>
      </w:r>
      <w:r w:rsidRPr="0046545B">
        <w:rPr>
          <w:rFonts w:ascii="Times New Roman" w:hAnsi="Times New Roman" w:cs="Times New Roman"/>
          <w:szCs w:val="24"/>
        </w:rPr>
        <w:t>“</w:t>
      </w:r>
      <w:r w:rsidRPr="0046545B">
        <w:rPr>
          <w:rFonts w:ascii="Times New Roman" w:hAnsi="Times New Roman" w:cs="Times New Roman"/>
          <w:szCs w:val="24"/>
        </w:rPr>
        <w:t>not be too speculative.</w:t>
      </w:r>
      <w:r w:rsidRPr="0046545B">
        <w:rPr>
          <w:rFonts w:ascii="Times New Roman" w:hAnsi="Times New Roman" w:cs="Times New Roman"/>
          <w:szCs w:val="24"/>
        </w:rPr>
        <w:t>”</w:t>
      </w:r>
      <w:r>
        <w:rPr>
          <w:rStyle w:val="FootnoteReference"/>
          <w:rFonts w:ascii="Times New Roman" w:hAnsi="Times New Roman" w:cs="Times New Roman"/>
          <w:szCs w:val="24"/>
        </w:rPr>
        <w:footnoteReference w:id="36"/>
      </w:r>
      <w:r w:rsidRPr="0046545B">
        <w:rPr>
          <w:rFonts w:ascii="Times New Roman" w:hAnsi="Times New Roman" w:cs="Times New Roman"/>
          <w:szCs w:val="24"/>
        </w:rPr>
        <w:t xml:space="preserve"> When e</w:t>
      </w:r>
      <w:r w:rsidRPr="0046545B">
        <w:rPr>
          <w:rFonts w:ascii="Times New Roman" w:hAnsi="Times New Roman" w:cs="Times New Roman"/>
          <w:szCs w:val="24"/>
        </w:rPr>
        <w:t>xamining the life care plan</w:t>
      </w:r>
      <w:r w:rsidRPr="0046545B">
        <w:rPr>
          <w:rFonts w:ascii="Times New Roman" w:hAnsi="Times New Roman" w:cs="Times New Roman"/>
          <w:szCs w:val="24"/>
        </w:rPr>
        <w:t>, testimony about the methodology</w:t>
      </w:r>
      <w:r w:rsidRPr="0046545B">
        <w:rPr>
          <w:rFonts w:ascii="Times New Roman" w:hAnsi="Times New Roman" w:cs="Times New Roman"/>
          <w:szCs w:val="24"/>
        </w:rPr>
        <w:t xml:space="preserve"> used i</w:t>
      </w:r>
      <w:r w:rsidRPr="0046545B">
        <w:rPr>
          <w:rFonts w:ascii="Times New Roman" w:hAnsi="Times New Roman" w:cs="Times New Roman"/>
          <w:szCs w:val="24"/>
        </w:rPr>
        <w:t>s</w:t>
      </w:r>
      <w:r w:rsidRPr="0046545B">
        <w:rPr>
          <w:rFonts w:ascii="Times New Roman" w:hAnsi="Times New Roman" w:cs="Times New Roman"/>
          <w:szCs w:val="24"/>
        </w:rPr>
        <w:t xml:space="preserve"> essential. </w:t>
      </w:r>
      <w:r w:rsidRPr="0046545B">
        <w:rPr>
          <w:rFonts w:ascii="Times New Roman" w:hAnsi="Times New Roman" w:cs="Times New Roman"/>
          <w:szCs w:val="24"/>
        </w:rPr>
        <w:t xml:space="preserve">Any concern about the plan or conflicting testimony about the plan can </w:t>
      </w:r>
      <w:r w:rsidRPr="0046545B">
        <w:rPr>
          <w:rFonts w:ascii="Times New Roman" w:hAnsi="Times New Roman" w:cs="Times New Roman"/>
          <w:szCs w:val="24"/>
        </w:rPr>
        <w:t>significantly impact the admissibility of the plan into evidence. For example, in one case the Defendants asserted that, the “</w:t>
      </w:r>
      <w:r w:rsidRPr="0046545B">
        <w:rPr>
          <w:rFonts w:ascii="Times New Roman" w:hAnsi="Times New Roman" w:cs="Times New Roman"/>
          <w:szCs w:val="24"/>
        </w:rPr>
        <w:t>plaintiff</w:t>
      </w:r>
      <w:r w:rsidRPr="0046545B">
        <w:rPr>
          <w:rFonts w:ascii="Times New Roman" w:hAnsi="Times New Roman" w:cs="Times New Roman"/>
          <w:szCs w:val="24"/>
        </w:rPr>
        <w:t>’</w:t>
      </w:r>
      <w:r w:rsidRPr="0046545B">
        <w:rPr>
          <w:rFonts w:ascii="Times New Roman" w:hAnsi="Times New Roman" w:cs="Times New Roman"/>
          <w:szCs w:val="24"/>
        </w:rPr>
        <w:t>s lifecare planner…testified that she was speculating, or did not have knowledge of actual future need for many of the i</w:t>
      </w:r>
      <w:r w:rsidRPr="0046545B">
        <w:rPr>
          <w:rFonts w:ascii="Times New Roman" w:hAnsi="Times New Roman" w:cs="Times New Roman"/>
          <w:szCs w:val="24"/>
        </w:rPr>
        <w:t xml:space="preserve">tems, such that there was no reasonable basis. Further, while [the life care planner] testified that </w:t>
      </w:r>
      <w:r w:rsidRPr="0046545B">
        <w:rPr>
          <w:rFonts w:ascii="Times New Roman" w:hAnsi="Times New Roman" w:cs="Times New Roman"/>
          <w:szCs w:val="24"/>
        </w:rPr>
        <w:t xml:space="preserve">[plaintiff’s] </w:t>
      </w:r>
      <w:r w:rsidRPr="0046545B">
        <w:rPr>
          <w:rFonts w:ascii="Times New Roman" w:hAnsi="Times New Roman" w:cs="Times New Roman"/>
          <w:szCs w:val="24"/>
        </w:rPr>
        <w:t>treating neurologist</w:t>
      </w:r>
      <w:r w:rsidRPr="0046545B">
        <w:rPr>
          <w:rFonts w:ascii="Times New Roman" w:hAnsi="Times New Roman" w:cs="Times New Roman"/>
          <w:szCs w:val="24"/>
        </w:rPr>
        <w:t>…</w:t>
      </w:r>
      <w:r w:rsidRPr="0046545B">
        <w:rPr>
          <w:rFonts w:ascii="Times New Roman" w:hAnsi="Times New Roman" w:cs="Times New Roman"/>
          <w:szCs w:val="24"/>
        </w:rPr>
        <w:t>reviewed and endorsed it, he also testified that several areas of the plan are uncertain and therefore unsupportable.”</w:t>
      </w:r>
      <w:r>
        <w:rPr>
          <w:rStyle w:val="FootnoteReference"/>
          <w:rFonts w:ascii="Times New Roman" w:hAnsi="Times New Roman" w:cs="Times New Roman"/>
          <w:szCs w:val="24"/>
        </w:rPr>
        <w:footnoteReference w:id="37"/>
      </w:r>
      <w:r w:rsidRPr="0046545B">
        <w:rPr>
          <w:rFonts w:ascii="Times New Roman" w:hAnsi="Times New Roman" w:cs="Times New Roman"/>
          <w:szCs w:val="24"/>
        </w:rPr>
        <w:t xml:space="preserve"> As this case illustrates, the methodology and the deposition testimony of the life care planner and any reviewing physician is paramount to the Court’s examination of whether or not to admit the testimony.</w:t>
      </w:r>
    </w:p>
    <w:p w14:paraId="0679A198" w14:textId="77777777" w:rsidR="003460C4" w:rsidRDefault="005D2842" w:rsidP="00431786">
      <w:pPr>
        <w:ind w:firstLine="576"/>
        <w:rPr>
          <w:rFonts w:ascii="Century" w:hAnsi="Century"/>
          <w:color w:val="000000"/>
          <w:sz w:val="20"/>
          <w:szCs w:val="20"/>
        </w:rPr>
      </w:pPr>
    </w:p>
    <w:p w14:paraId="0339015D" w14:textId="77777777" w:rsidR="009D4159" w:rsidRPr="00005F3A" w:rsidRDefault="005D2842" w:rsidP="008F2939">
      <w:pPr>
        <w:ind w:firstLine="720"/>
        <w:rPr>
          <w:rStyle w:val="ssrfcpassagedeactivated"/>
          <w:rFonts w:ascii="Times New Roman" w:hAnsi="Times New Roman" w:cs="Times New Roman"/>
          <w:szCs w:val="24"/>
        </w:rPr>
      </w:pPr>
      <w:r w:rsidRPr="00005F3A">
        <w:rPr>
          <w:rStyle w:val="ssrfcpassagedeactivated"/>
          <w:rFonts w:ascii="Times New Roman" w:hAnsi="Times New Roman" w:cs="Times New Roman"/>
          <w:szCs w:val="24"/>
        </w:rPr>
        <w:t xml:space="preserve">As shown above, Virginia precedent has a </w:t>
      </w:r>
      <w:r w:rsidRPr="00005F3A">
        <w:rPr>
          <w:rStyle w:val="ssrfcpassagedeactivated"/>
          <w:rFonts w:ascii="Times New Roman" w:hAnsi="Times New Roman" w:cs="Times New Roman"/>
          <w:szCs w:val="24"/>
        </w:rPr>
        <w:t>complex history</w:t>
      </w:r>
      <w:r>
        <w:rPr>
          <w:rStyle w:val="ssrfcpassagedeactivated"/>
          <w:rFonts w:ascii="Times New Roman" w:hAnsi="Times New Roman" w:cs="Times New Roman"/>
          <w:szCs w:val="24"/>
        </w:rPr>
        <w:t xml:space="preserve"> of the treatment of </w:t>
      </w:r>
      <w:r w:rsidRPr="00005F3A">
        <w:rPr>
          <w:rStyle w:val="ssrfcpassagedeactivated"/>
          <w:rFonts w:ascii="Times New Roman" w:hAnsi="Times New Roman" w:cs="Times New Roman"/>
          <w:szCs w:val="24"/>
        </w:rPr>
        <w:t xml:space="preserve">expert testimony. This treatment is further complicated with the introduction of life care planners. </w:t>
      </w:r>
      <w:r w:rsidRPr="00005F3A">
        <w:rPr>
          <w:rStyle w:val="ssrfcpassagedeactivated"/>
          <w:rFonts w:ascii="Times New Roman" w:hAnsi="Times New Roman" w:cs="Times New Roman"/>
          <w:szCs w:val="24"/>
        </w:rPr>
        <w:t xml:space="preserve">As a practical matter, and as a guiding principle from the International Association of Rehabilitation Professions, a </w:t>
      </w:r>
      <w:r w:rsidRPr="00005F3A">
        <w:rPr>
          <w:rStyle w:val="ssrfcpassagedeactivated"/>
          <w:rFonts w:ascii="Times New Roman" w:hAnsi="Times New Roman" w:cs="Times New Roman"/>
          <w:szCs w:val="24"/>
        </w:rPr>
        <w:t>l</w:t>
      </w:r>
      <w:r w:rsidRPr="00005F3A">
        <w:rPr>
          <w:rStyle w:val="ssrfcpassagedeactivated"/>
          <w:rFonts w:ascii="Times New Roman" w:hAnsi="Times New Roman" w:cs="Times New Roman"/>
          <w:szCs w:val="24"/>
        </w:rPr>
        <w:t>ife care planner should “seek recommendations from other qualified professionals or relevant sources for including of care items/services outside the in</w:t>
      </w:r>
      <w:r w:rsidRPr="00005F3A">
        <w:rPr>
          <w:rStyle w:val="ssrfcpassagedeactivated"/>
          <w:rFonts w:ascii="Times New Roman" w:hAnsi="Times New Roman" w:cs="Times New Roman"/>
          <w:szCs w:val="24"/>
        </w:rPr>
        <w:t xml:space="preserve">dividual </w:t>
      </w:r>
      <w:r w:rsidRPr="00005F3A">
        <w:rPr>
          <w:rStyle w:val="ssrfcpassagedeactivated"/>
          <w:rFonts w:ascii="Times New Roman" w:hAnsi="Times New Roman" w:cs="Times New Roman"/>
          <w:szCs w:val="24"/>
        </w:rPr>
        <w:t>life care planner’s professional scope(s) of practice.</w:t>
      </w:r>
      <w:r>
        <w:rPr>
          <w:rStyle w:val="ssrfcpassagedeactivated"/>
          <w:rFonts w:ascii="Times New Roman" w:hAnsi="Times New Roman" w:cs="Times New Roman"/>
          <w:szCs w:val="24"/>
        </w:rPr>
        <w:t>”</w:t>
      </w:r>
      <w:r>
        <w:rPr>
          <w:rStyle w:val="FootnoteReference"/>
          <w:rFonts w:ascii="Times New Roman" w:hAnsi="Times New Roman" w:cs="Times New Roman"/>
          <w:szCs w:val="24"/>
        </w:rPr>
        <w:footnoteReference w:id="38"/>
      </w:r>
      <w:r w:rsidRPr="00005F3A">
        <w:rPr>
          <w:rStyle w:val="ssrfcpassagedeactivated"/>
          <w:rFonts w:ascii="Times New Roman" w:hAnsi="Times New Roman" w:cs="Times New Roman"/>
          <w:szCs w:val="24"/>
        </w:rPr>
        <w:t xml:space="preserve"> </w:t>
      </w:r>
      <w:r>
        <w:rPr>
          <w:rStyle w:val="ssrfcpassagedeactivated"/>
          <w:rFonts w:ascii="Times New Roman" w:hAnsi="Times New Roman" w:cs="Times New Roman"/>
          <w:szCs w:val="24"/>
        </w:rPr>
        <w:t xml:space="preserve">This will assist the litigator </w:t>
      </w:r>
      <w:r>
        <w:rPr>
          <w:rStyle w:val="ssrfcpassagedeactivated"/>
          <w:rFonts w:ascii="Times New Roman" w:hAnsi="Times New Roman" w:cs="Times New Roman"/>
          <w:szCs w:val="24"/>
        </w:rPr>
        <w:t>in eva</w:t>
      </w:r>
      <w:r>
        <w:rPr>
          <w:rStyle w:val="ssrfcpassagedeactivated"/>
          <w:rFonts w:ascii="Times New Roman" w:hAnsi="Times New Roman" w:cs="Times New Roman"/>
          <w:szCs w:val="24"/>
        </w:rPr>
        <w:t xml:space="preserve">luating the </w:t>
      </w:r>
      <w:r>
        <w:rPr>
          <w:rStyle w:val="ssrfcpassagedeactivated"/>
          <w:rFonts w:ascii="Times New Roman" w:hAnsi="Times New Roman" w:cs="Times New Roman"/>
          <w:szCs w:val="24"/>
        </w:rPr>
        <w:t>credibility of the expert witness</w:t>
      </w:r>
      <w:r>
        <w:rPr>
          <w:rStyle w:val="ssrfcpassagedeactivated"/>
          <w:rFonts w:ascii="Times New Roman" w:hAnsi="Times New Roman" w:cs="Times New Roman"/>
          <w:szCs w:val="24"/>
        </w:rPr>
        <w:t xml:space="preserve"> and help to </w:t>
      </w:r>
      <w:r>
        <w:rPr>
          <w:rStyle w:val="ssrfcpassagedeactivated"/>
          <w:rFonts w:ascii="Times New Roman" w:hAnsi="Times New Roman" w:cs="Times New Roman"/>
          <w:szCs w:val="24"/>
        </w:rPr>
        <w:t>lay proper foundation for the introduction of testimony. This expertise is important because there is no codified qualification to become a life care planner.</w:t>
      </w:r>
    </w:p>
    <w:p w14:paraId="3CF608A7" w14:textId="77777777" w:rsidR="005E6039" w:rsidRPr="00005F3A" w:rsidRDefault="005D2842" w:rsidP="005E6039">
      <w:pPr>
        <w:rPr>
          <w:rStyle w:val="ssrfcpassagedeactivated"/>
          <w:rFonts w:ascii="Times New Roman" w:hAnsi="Times New Roman" w:cs="Times New Roman"/>
          <w:szCs w:val="24"/>
        </w:rPr>
      </w:pPr>
    </w:p>
    <w:p w14:paraId="45B6CD88" w14:textId="77777777" w:rsidR="009D4159" w:rsidRPr="000E3338" w:rsidRDefault="005D2842" w:rsidP="000E3338">
      <w:pPr>
        <w:pStyle w:val="ListParagraph"/>
        <w:numPr>
          <w:ilvl w:val="0"/>
          <w:numId w:val="8"/>
        </w:numPr>
        <w:rPr>
          <w:rFonts w:ascii="Times New Roman" w:hAnsi="Times New Roman" w:cs="Times New Roman"/>
          <w:szCs w:val="24"/>
          <w:u w:val="single"/>
        </w:rPr>
      </w:pPr>
      <w:r w:rsidRPr="000E3338">
        <w:rPr>
          <w:rFonts w:ascii="Times New Roman" w:hAnsi="Times New Roman" w:cs="Times New Roman"/>
          <w:szCs w:val="24"/>
          <w:u w:val="single"/>
        </w:rPr>
        <w:t xml:space="preserve">Qualifications of </w:t>
      </w:r>
      <w:r w:rsidRPr="000E3338">
        <w:rPr>
          <w:rFonts w:ascii="Times New Roman" w:hAnsi="Times New Roman" w:cs="Times New Roman"/>
          <w:szCs w:val="24"/>
          <w:u w:val="single"/>
        </w:rPr>
        <w:t>L</w:t>
      </w:r>
      <w:r w:rsidRPr="000E3338">
        <w:rPr>
          <w:rFonts w:ascii="Times New Roman" w:hAnsi="Times New Roman" w:cs="Times New Roman"/>
          <w:szCs w:val="24"/>
          <w:u w:val="single"/>
        </w:rPr>
        <w:t xml:space="preserve">ife </w:t>
      </w:r>
      <w:r w:rsidRPr="000E3338">
        <w:rPr>
          <w:rFonts w:ascii="Times New Roman" w:hAnsi="Times New Roman" w:cs="Times New Roman"/>
          <w:szCs w:val="24"/>
          <w:u w:val="single"/>
        </w:rPr>
        <w:t>C</w:t>
      </w:r>
      <w:r w:rsidRPr="000E3338">
        <w:rPr>
          <w:rFonts w:ascii="Times New Roman" w:hAnsi="Times New Roman" w:cs="Times New Roman"/>
          <w:szCs w:val="24"/>
          <w:u w:val="single"/>
        </w:rPr>
        <w:t xml:space="preserve">are </w:t>
      </w:r>
      <w:r w:rsidRPr="000E3338">
        <w:rPr>
          <w:rFonts w:ascii="Times New Roman" w:hAnsi="Times New Roman" w:cs="Times New Roman"/>
          <w:szCs w:val="24"/>
          <w:u w:val="single"/>
        </w:rPr>
        <w:t>P</w:t>
      </w:r>
      <w:r w:rsidRPr="000E3338">
        <w:rPr>
          <w:rFonts w:ascii="Times New Roman" w:hAnsi="Times New Roman" w:cs="Times New Roman"/>
          <w:szCs w:val="24"/>
          <w:u w:val="single"/>
        </w:rPr>
        <w:t>laners</w:t>
      </w:r>
      <w:r w:rsidRPr="000E3338">
        <w:rPr>
          <w:rFonts w:ascii="Times New Roman" w:hAnsi="Times New Roman" w:cs="Times New Roman"/>
          <w:szCs w:val="24"/>
          <w:u w:val="single"/>
        </w:rPr>
        <w:t xml:space="preserve"> </w:t>
      </w:r>
      <w:r w:rsidRPr="000E3338">
        <w:rPr>
          <w:rFonts w:ascii="Times New Roman" w:hAnsi="Times New Roman" w:cs="Times New Roman"/>
          <w:szCs w:val="24"/>
          <w:u w:val="single"/>
        </w:rPr>
        <w:t xml:space="preserve"> </w:t>
      </w:r>
    </w:p>
    <w:p w14:paraId="10F7A33D" w14:textId="77777777" w:rsidR="00CB1C40" w:rsidRPr="00005F3A" w:rsidRDefault="005D2842" w:rsidP="00CB1C40">
      <w:pPr>
        <w:rPr>
          <w:rFonts w:ascii="Times New Roman" w:hAnsi="Times New Roman" w:cs="Times New Roman"/>
          <w:szCs w:val="24"/>
        </w:rPr>
      </w:pPr>
    </w:p>
    <w:p w14:paraId="073E23EB" w14:textId="77777777" w:rsidR="00DB6D02" w:rsidRPr="00005F3A" w:rsidRDefault="005D2842" w:rsidP="00CB1C40">
      <w:pPr>
        <w:ind w:firstLine="720"/>
        <w:rPr>
          <w:rFonts w:ascii="Times New Roman" w:hAnsi="Times New Roman" w:cs="Times New Roman"/>
          <w:szCs w:val="24"/>
        </w:rPr>
      </w:pPr>
      <w:r>
        <w:rPr>
          <w:rFonts w:ascii="Times New Roman" w:hAnsi="Times New Roman" w:cs="Times New Roman"/>
          <w:szCs w:val="24"/>
        </w:rPr>
        <w:t>T</w:t>
      </w:r>
      <w:r w:rsidRPr="00005F3A">
        <w:rPr>
          <w:rFonts w:ascii="Times New Roman" w:hAnsi="Times New Roman" w:cs="Times New Roman"/>
          <w:szCs w:val="24"/>
        </w:rPr>
        <w:t>here are n</w:t>
      </w:r>
      <w:r w:rsidRPr="00005F3A">
        <w:rPr>
          <w:rFonts w:ascii="Times New Roman" w:hAnsi="Times New Roman" w:cs="Times New Roman"/>
          <w:szCs w:val="24"/>
        </w:rPr>
        <w:t xml:space="preserve">o specific codified or otherwise </w:t>
      </w:r>
      <w:r>
        <w:rPr>
          <w:rFonts w:ascii="Times New Roman" w:hAnsi="Times New Roman" w:cs="Times New Roman"/>
          <w:szCs w:val="24"/>
        </w:rPr>
        <w:t xml:space="preserve">required </w:t>
      </w:r>
      <w:r w:rsidRPr="00005F3A">
        <w:rPr>
          <w:rFonts w:ascii="Times New Roman" w:hAnsi="Times New Roman" w:cs="Times New Roman"/>
          <w:szCs w:val="24"/>
        </w:rPr>
        <w:t>state qualifications</w:t>
      </w:r>
      <w:r w:rsidRPr="00005F3A">
        <w:rPr>
          <w:rFonts w:ascii="Times New Roman" w:hAnsi="Times New Roman" w:cs="Times New Roman"/>
          <w:szCs w:val="24"/>
        </w:rPr>
        <w:t xml:space="preserve"> to become a life care planner.</w:t>
      </w:r>
      <w:r>
        <w:rPr>
          <w:rFonts w:ascii="Times New Roman" w:hAnsi="Times New Roman" w:cs="Times New Roman"/>
          <w:szCs w:val="24"/>
        </w:rPr>
        <w:t xml:space="preserve"> </w:t>
      </w:r>
      <w:r w:rsidRPr="00005F3A">
        <w:rPr>
          <w:rFonts w:ascii="Times New Roman" w:hAnsi="Times New Roman" w:cs="Times New Roman"/>
          <w:szCs w:val="24"/>
        </w:rPr>
        <w:t>Historically, life care planners have been physicians, nurses,</w:t>
      </w:r>
      <w:r w:rsidRPr="00005F3A">
        <w:rPr>
          <w:rFonts w:ascii="Times New Roman" w:hAnsi="Times New Roman" w:cs="Times New Roman"/>
          <w:szCs w:val="24"/>
        </w:rPr>
        <w:t xml:space="preserve">  </w:t>
      </w:r>
      <w:r w:rsidRPr="00005F3A">
        <w:rPr>
          <w:rFonts w:ascii="Times New Roman" w:hAnsi="Times New Roman" w:cs="Times New Roman"/>
          <w:szCs w:val="24"/>
        </w:rPr>
        <w:t xml:space="preserve">counselors, and other professionals in the health and medical arena. Private </w:t>
      </w:r>
      <w:r w:rsidRPr="00005F3A">
        <w:rPr>
          <w:rFonts w:ascii="Times New Roman" w:hAnsi="Times New Roman" w:cs="Times New Roman"/>
          <w:szCs w:val="24"/>
        </w:rPr>
        <w:t xml:space="preserve">sector entities also have standards </w:t>
      </w:r>
      <w:r w:rsidRPr="00005F3A">
        <w:rPr>
          <w:rFonts w:ascii="Times New Roman" w:hAnsi="Times New Roman" w:cs="Times New Roman"/>
          <w:szCs w:val="24"/>
        </w:rPr>
        <w:lastRenderedPageBreak/>
        <w:t>frameworks to help their members develop and document professional competence, such as the National Association of Social Work, Standards for Case Management 2000.</w:t>
      </w:r>
      <w:r>
        <w:rPr>
          <w:rStyle w:val="FootnoteReference"/>
          <w:rFonts w:ascii="Times New Roman" w:hAnsi="Times New Roman" w:cs="Times New Roman"/>
          <w:szCs w:val="24"/>
        </w:rPr>
        <w:footnoteReference w:id="39"/>
      </w:r>
      <w:r>
        <w:rPr>
          <w:rFonts w:ascii="Times New Roman" w:hAnsi="Times New Roman" w:cs="Times New Roman"/>
          <w:szCs w:val="24"/>
        </w:rPr>
        <w:t xml:space="preserve"> </w:t>
      </w:r>
      <w:r w:rsidRPr="00005F3A">
        <w:rPr>
          <w:rFonts w:ascii="Times New Roman" w:hAnsi="Times New Roman" w:cs="Times New Roman"/>
          <w:szCs w:val="24"/>
        </w:rPr>
        <w:t xml:space="preserve">One may obtain a certification to become a </w:t>
      </w:r>
      <w:r w:rsidRPr="00005F3A">
        <w:rPr>
          <w:rFonts w:ascii="Times New Roman" w:hAnsi="Times New Roman" w:cs="Times New Roman"/>
          <w:szCs w:val="24"/>
        </w:rPr>
        <w:t>Certified Life Care Planner or a Certified Nurse Life Care Planner.</w:t>
      </w:r>
      <w:r>
        <w:rPr>
          <w:rFonts w:ascii="Times New Roman" w:hAnsi="Times New Roman" w:cs="Times New Roman"/>
          <w:szCs w:val="24"/>
        </w:rPr>
        <w:t xml:space="preserve"> This further illustrates the importance of documenting the life care planner’s methodology, experience, and credibility when proffering the expert testimony.</w:t>
      </w:r>
      <w:r>
        <w:rPr>
          <w:rFonts w:ascii="Times New Roman" w:hAnsi="Times New Roman" w:cs="Times New Roman"/>
          <w:szCs w:val="24"/>
        </w:rPr>
        <w:t xml:space="preserve"> </w:t>
      </w:r>
      <w:r>
        <w:rPr>
          <w:rFonts w:ascii="Times New Roman" w:hAnsi="Times New Roman" w:cs="Times New Roman"/>
          <w:szCs w:val="24"/>
        </w:rPr>
        <w:t xml:space="preserve"> </w:t>
      </w:r>
    </w:p>
    <w:p w14:paraId="75F4B028" w14:textId="77777777" w:rsidR="00DB6D02" w:rsidRPr="00005F3A" w:rsidRDefault="005D2842" w:rsidP="00DB6D02">
      <w:pPr>
        <w:pStyle w:val="ListParagraph"/>
        <w:ind w:left="1440"/>
        <w:rPr>
          <w:rFonts w:ascii="Times New Roman" w:hAnsi="Times New Roman" w:cs="Times New Roman"/>
          <w:szCs w:val="24"/>
        </w:rPr>
      </w:pPr>
    </w:p>
    <w:p w14:paraId="4716DACD" w14:textId="77777777" w:rsidR="00A0741D" w:rsidRPr="000E3338" w:rsidRDefault="005D2842" w:rsidP="000E3338">
      <w:pPr>
        <w:pStyle w:val="ListParagraph"/>
        <w:numPr>
          <w:ilvl w:val="0"/>
          <w:numId w:val="8"/>
        </w:numPr>
        <w:rPr>
          <w:rFonts w:ascii="Times New Roman" w:hAnsi="Times New Roman" w:cs="Times New Roman"/>
          <w:szCs w:val="24"/>
          <w:u w:val="single"/>
        </w:rPr>
      </w:pPr>
      <w:r w:rsidRPr="000E3338">
        <w:rPr>
          <w:rFonts w:ascii="Times New Roman" w:hAnsi="Times New Roman" w:cs="Times New Roman"/>
          <w:szCs w:val="24"/>
          <w:u w:val="single"/>
        </w:rPr>
        <w:t>P</w:t>
      </w:r>
      <w:r w:rsidRPr="000E3338">
        <w:rPr>
          <w:rFonts w:ascii="Times New Roman" w:hAnsi="Times New Roman" w:cs="Times New Roman"/>
          <w:szCs w:val="24"/>
          <w:u w:val="single"/>
        </w:rPr>
        <w:t xml:space="preserve">ractical </w:t>
      </w:r>
      <w:r w:rsidRPr="000E3338">
        <w:rPr>
          <w:rFonts w:ascii="Times New Roman" w:hAnsi="Times New Roman" w:cs="Times New Roman"/>
          <w:szCs w:val="24"/>
          <w:u w:val="single"/>
        </w:rPr>
        <w:t>T</w:t>
      </w:r>
      <w:r w:rsidRPr="000E3338">
        <w:rPr>
          <w:rFonts w:ascii="Times New Roman" w:hAnsi="Times New Roman" w:cs="Times New Roman"/>
          <w:szCs w:val="24"/>
          <w:u w:val="single"/>
        </w:rPr>
        <w:t xml:space="preserve">ips </w:t>
      </w:r>
      <w:r w:rsidRPr="000E3338">
        <w:rPr>
          <w:rFonts w:ascii="Times New Roman" w:hAnsi="Times New Roman" w:cs="Times New Roman"/>
          <w:szCs w:val="24"/>
          <w:u w:val="single"/>
        </w:rPr>
        <w:t>f</w:t>
      </w:r>
      <w:r w:rsidRPr="000E3338">
        <w:rPr>
          <w:rFonts w:ascii="Times New Roman" w:hAnsi="Times New Roman" w:cs="Times New Roman"/>
          <w:szCs w:val="24"/>
          <w:u w:val="single"/>
        </w:rPr>
        <w:t xml:space="preserve">or </w:t>
      </w:r>
      <w:r w:rsidRPr="000E3338">
        <w:rPr>
          <w:rFonts w:ascii="Times New Roman" w:hAnsi="Times New Roman" w:cs="Times New Roman"/>
          <w:szCs w:val="24"/>
          <w:u w:val="single"/>
        </w:rPr>
        <w:t>C</w:t>
      </w:r>
      <w:r w:rsidRPr="000E3338">
        <w:rPr>
          <w:rFonts w:ascii="Times New Roman" w:hAnsi="Times New Roman" w:cs="Times New Roman"/>
          <w:szCs w:val="24"/>
          <w:u w:val="single"/>
        </w:rPr>
        <w:t xml:space="preserve">ross </w:t>
      </w:r>
      <w:r w:rsidRPr="000E3338">
        <w:rPr>
          <w:rFonts w:ascii="Times New Roman" w:hAnsi="Times New Roman" w:cs="Times New Roman"/>
          <w:szCs w:val="24"/>
          <w:u w:val="single"/>
        </w:rPr>
        <w:t>E</w:t>
      </w:r>
      <w:r w:rsidRPr="000E3338">
        <w:rPr>
          <w:rFonts w:ascii="Times New Roman" w:hAnsi="Times New Roman" w:cs="Times New Roman"/>
          <w:szCs w:val="24"/>
          <w:u w:val="single"/>
        </w:rPr>
        <w:t>x</w:t>
      </w:r>
      <w:r w:rsidRPr="000E3338">
        <w:rPr>
          <w:rFonts w:ascii="Times New Roman" w:hAnsi="Times New Roman" w:cs="Times New Roman"/>
          <w:szCs w:val="24"/>
          <w:u w:val="single"/>
        </w:rPr>
        <w:t xml:space="preserve">amining </w:t>
      </w:r>
      <w:r w:rsidRPr="000E3338">
        <w:rPr>
          <w:rFonts w:ascii="Times New Roman" w:hAnsi="Times New Roman" w:cs="Times New Roman"/>
          <w:szCs w:val="24"/>
          <w:u w:val="single"/>
        </w:rPr>
        <w:t>L</w:t>
      </w:r>
      <w:r w:rsidRPr="000E3338">
        <w:rPr>
          <w:rFonts w:ascii="Times New Roman" w:hAnsi="Times New Roman" w:cs="Times New Roman"/>
          <w:szCs w:val="24"/>
          <w:u w:val="single"/>
        </w:rPr>
        <w:t xml:space="preserve">ife </w:t>
      </w:r>
      <w:r w:rsidRPr="000E3338">
        <w:rPr>
          <w:rFonts w:ascii="Times New Roman" w:hAnsi="Times New Roman" w:cs="Times New Roman"/>
          <w:szCs w:val="24"/>
          <w:u w:val="single"/>
        </w:rPr>
        <w:t>C</w:t>
      </w:r>
      <w:r w:rsidRPr="000E3338">
        <w:rPr>
          <w:rFonts w:ascii="Times New Roman" w:hAnsi="Times New Roman" w:cs="Times New Roman"/>
          <w:szCs w:val="24"/>
          <w:u w:val="single"/>
        </w:rPr>
        <w:t xml:space="preserve">are </w:t>
      </w:r>
      <w:r w:rsidRPr="000E3338">
        <w:rPr>
          <w:rFonts w:ascii="Times New Roman" w:hAnsi="Times New Roman" w:cs="Times New Roman"/>
          <w:szCs w:val="24"/>
          <w:u w:val="single"/>
        </w:rPr>
        <w:t>P</w:t>
      </w:r>
      <w:r w:rsidRPr="000E3338">
        <w:rPr>
          <w:rFonts w:ascii="Times New Roman" w:hAnsi="Times New Roman" w:cs="Times New Roman"/>
          <w:szCs w:val="24"/>
          <w:u w:val="single"/>
        </w:rPr>
        <w:t xml:space="preserve">lanners  </w:t>
      </w:r>
    </w:p>
    <w:p w14:paraId="52D4D672" w14:textId="77777777" w:rsidR="00A0741D" w:rsidRDefault="005D2842" w:rsidP="008F2939">
      <w:pPr>
        <w:rPr>
          <w:rFonts w:ascii="Times New Roman" w:hAnsi="Times New Roman" w:cs="Times New Roman"/>
          <w:szCs w:val="24"/>
        </w:rPr>
      </w:pPr>
    </w:p>
    <w:p w14:paraId="4A33A370" w14:textId="77777777" w:rsidR="00A0741D" w:rsidRDefault="005D2842" w:rsidP="00A0741D">
      <w:pPr>
        <w:ind w:firstLine="720"/>
        <w:rPr>
          <w:rStyle w:val="Hyperlink"/>
          <w:rFonts w:ascii="Times New Roman" w:hAnsi="Times New Roman" w:cs="Times New Roman"/>
          <w:color w:val="auto"/>
          <w:szCs w:val="24"/>
          <w:u w:val="none"/>
          <w:bdr w:val="none" w:sz="0" w:space="0" w:color="auto" w:frame="1"/>
          <w:shd w:val="clear" w:color="auto" w:fill="FFFFFF"/>
        </w:rPr>
      </w:pPr>
      <w:r w:rsidRPr="00005F3A">
        <w:rPr>
          <w:rFonts w:ascii="Times New Roman" w:hAnsi="Times New Roman" w:cs="Times New Roman"/>
          <w:szCs w:val="24"/>
        </w:rPr>
        <w:t xml:space="preserve">When considering how </w:t>
      </w:r>
      <w:r w:rsidRPr="00005F3A">
        <w:rPr>
          <w:rFonts w:ascii="Times New Roman" w:hAnsi="Times New Roman" w:cs="Times New Roman"/>
          <w:szCs w:val="24"/>
        </w:rPr>
        <w:t xml:space="preserve">to cross examine a life care planner, </w:t>
      </w:r>
      <w:r w:rsidRPr="00005F3A">
        <w:rPr>
          <w:rFonts w:ascii="Times New Roman" w:eastAsia="Times New Roman" w:hAnsi="Times New Roman" w:cs="Times New Roman"/>
          <w:szCs w:val="24"/>
        </w:rPr>
        <w:t xml:space="preserve">attorneys should be aware of the specific life care planner’s </w:t>
      </w:r>
      <w:r w:rsidRPr="00005F3A">
        <w:rPr>
          <w:rFonts w:ascii="Times New Roman" w:eastAsia="Times New Roman" w:hAnsi="Times New Roman" w:cs="Times New Roman"/>
          <w:szCs w:val="24"/>
        </w:rPr>
        <w:t>expertise</w:t>
      </w:r>
      <w:r w:rsidRPr="00005F3A">
        <w:rPr>
          <w:rFonts w:ascii="Times New Roman" w:eastAsia="Times New Roman" w:hAnsi="Times New Roman" w:cs="Times New Roman"/>
          <w:szCs w:val="24"/>
        </w:rPr>
        <w:t xml:space="preserve"> and qualifications</w:t>
      </w:r>
      <w:r w:rsidRPr="00005F3A">
        <w:rPr>
          <w:rFonts w:ascii="Times New Roman" w:eastAsia="Times New Roman" w:hAnsi="Times New Roman" w:cs="Times New Roman"/>
          <w:szCs w:val="24"/>
        </w:rPr>
        <w:t xml:space="preserve">, as well as </w:t>
      </w:r>
      <w:r>
        <w:rPr>
          <w:rFonts w:ascii="Times New Roman" w:eastAsia="Times New Roman" w:hAnsi="Times New Roman" w:cs="Times New Roman"/>
          <w:szCs w:val="24"/>
        </w:rPr>
        <w:t xml:space="preserve">whether the proper testimonial </w:t>
      </w:r>
      <w:r w:rsidRPr="00005F3A">
        <w:rPr>
          <w:rFonts w:ascii="Times New Roman" w:eastAsia="Times New Roman" w:hAnsi="Times New Roman" w:cs="Times New Roman"/>
          <w:szCs w:val="24"/>
        </w:rPr>
        <w:t>foundation</w:t>
      </w:r>
      <w:r w:rsidRPr="00005F3A">
        <w:rPr>
          <w:rFonts w:ascii="Times New Roman" w:eastAsia="Times New Roman" w:hAnsi="Times New Roman" w:cs="Times New Roman"/>
          <w:szCs w:val="24"/>
        </w:rPr>
        <w:t>.</w:t>
      </w:r>
      <w:r w:rsidRPr="00005F3A">
        <w:rPr>
          <w:rFonts w:ascii="Times New Roman" w:eastAsia="Times New Roman" w:hAnsi="Times New Roman" w:cs="Times New Roman"/>
          <w:szCs w:val="24"/>
        </w:rPr>
        <w:t xml:space="preserve"> I</w:t>
      </w:r>
      <w:r w:rsidRPr="00005F3A">
        <w:rPr>
          <w:rFonts w:ascii="Times New Roman" w:hAnsi="Times New Roman" w:cs="Times New Roman"/>
          <w:szCs w:val="24"/>
        </w:rPr>
        <w:t xml:space="preserve">t is </w:t>
      </w:r>
      <w:r w:rsidRPr="00005F3A">
        <w:rPr>
          <w:rFonts w:ascii="Times New Roman" w:hAnsi="Times New Roman" w:cs="Times New Roman"/>
          <w:szCs w:val="24"/>
        </w:rPr>
        <w:t>important to consider the area of expertise of the life care planner because life care planner</w:t>
      </w:r>
      <w:r>
        <w:rPr>
          <w:rFonts w:ascii="Times New Roman" w:hAnsi="Times New Roman" w:cs="Times New Roman"/>
          <w:szCs w:val="24"/>
        </w:rPr>
        <w:t>s</w:t>
      </w:r>
      <w:r w:rsidRPr="00005F3A">
        <w:rPr>
          <w:rFonts w:ascii="Times New Roman" w:hAnsi="Times New Roman" w:cs="Times New Roman"/>
          <w:szCs w:val="24"/>
        </w:rPr>
        <w:t xml:space="preserve"> may not generally testify about areas in which </w:t>
      </w:r>
      <w:r>
        <w:rPr>
          <w:rFonts w:ascii="Times New Roman" w:hAnsi="Times New Roman" w:cs="Times New Roman"/>
          <w:szCs w:val="24"/>
        </w:rPr>
        <w:t xml:space="preserve">they are not qualified. </w:t>
      </w:r>
      <w:r w:rsidRPr="00005F3A">
        <w:rPr>
          <w:rFonts w:ascii="Times New Roman" w:hAnsi="Times New Roman" w:cs="Times New Roman"/>
          <w:szCs w:val="24"/>
        </w:rPr>
        <w:t xml:space="preserve"> </w:t>
      </w:r>
      <w:r>
        <w:t xml:space="preserve">The </w:t>
      </w:r>
      <w:r w:rsidRPr="00005F3A">
        <w:rPr>
          <w:rFonts w:ascii="Times New Roman" w:hAnsi="Times New Roman" w:cs="Times New Roman"/>
          <w:szCs w:val="24"/>
          <w:shd w:val="clear" w:color="auto" w:fill="FFFFFF"/>
        </w:rPr>
        <w:t>“[q]ualification of an expert witness does not insure admission of his every stateme</w:t>
      </w:r>
      <w:r w:rsidRPr="00005F3A">
        <w:rPr>
          <w:rFonts w:ascii="Times New Roman" w:hAnsi="Times New Roman" w:cs="Times New Roman"/>
          <w:szCs w:val="24"/>
          <w:shd w:val="clear" w:color="auto" w:fill="FFFFFF"/>
        </w:rPr>
        <w:t>nt and opinion.</w:t>
      </w:r>
      <w:r>
        <w:rPr>
          <w:rFonts w:ascii="Times New Roman" w:hAnsi="Times New Roman" w:cs="Times New Roman"/>
          <w:szCs w:val="24"/>
          <w:shd w:val="clear" w:color="auto" w:fill="FFFFFF"/>
        </w:rPr>
        <w:t>”</w:t>
      </w:r>
      <w:r>
        <w:rPr>
          <w:rStyle w:val="FootnoteReference"/>
          <w:rFonts w:ascii="Times New Roman" w:hAnsi="Times New Roman" w:cs="Times New Roman"/>
          <w:szCs w:val="24"/>
          <w:shd w:val="clear" w:color="auto" w:fill="FFFFFF"/>
        </w:rPr>
        <w:footnoteReference w:id="40"/>
      </w:r>
      <w:r>
        <w:rPr>
          <w:rFonts w:ascii="Times New Roman" w:hAnsi="Times New Roman" w:cs="Times New Roman"/>
          <w:szCs w:val="24"/>
          <w:shd w:val="clear" w:color="auto" w:fill="FFFFFF"/>
        </w:rPr>
        <w:t xml:space="preserve"> As a result, the hearsay rules and foundational requirements are</w:t>
      </w:r>
      <w:r>
        <w:rPr>
          <w:rFonts w:ascii="Times New Roman" w:hAnsi="Times New Roman" w:cs="Times New Roman"/>
          <w:szCs w:val="24"/>
          <w:shd w:val="clear" w:color="auto" w:fill="FFFFFF"/>
        </w:rPr>
        <w:t xml:space="preserve"> constantly </w:t>
      </w:r>
      <w:r>
        <w:rPr>
          <w:rFonts w:ascii="Times New Roman" w:hAnsi="Times New Roman" w:cs="Times New Roman"/>
          <w:szCs w:val="24"/>
          <w:shd w:val="clear" w:color="auto" w:fill="FFFFFF"/>
        </w:rPr>
        <w:t>at play in these important cases.</w:t>
      </w:r>
    </w:p>
    <w:p w14:paraId="3A11D93A" w14:textId="77777777" w:rsidR="00A0741D" w:rsidRDefault="005D2842" w:rsidP="00A0741D">
      <w:pPr>
        <w:ind w:firstLine="720"/>
        <w:rPr>
          <w:rStyle w:val="Hyperlink"/>
          <w:rFonts w:ascii="Times New Roman" w:hAnsi="Times New Roman" w:cs="Times New Roman"/>
          <w:color w:val="auto"/>
          <w:szCs w:val="24"/>
          <w:u w:val="none"/>
          <w:bdr w:val="none" w:sz="0" w:space="0" w:color="auto" w:frame="1"/>
          <w:shd w:val="clear" w:color="auto" w:fill="FFFFFF"/>
        </w:rPr>
      </w:pPr>
    </w:p>
    <w:p w14:paraId="59C7623B" w14:textId="77777777" w:rsidR="008F2939" w:rsidRDefault="005D2842" w:rsidP="00A0741D">
      <w:pPr>
        <w:ind w:firstLine="720"/>
        <w:rPr>
          <w:rStyle w:val="ssrfcpassagedeactivated"/>
          <w:rFonts w:ascii="Times New Roman" w:hAnsi="Times New Roman" w:cs="Times New Roman"/>
          <w:szCs w:val="24"/>
        </w:rPr>
      </w:pPr>
      <w:r>
        <w:rPr>
          <w:rFonts w:ascii="Times New Roman" w:hAnsi="Times New Roman" w:cs="Times New Roman"/>
          <w:szCs w:val="24"/>
          <w:shd w:val="clear" w:color="auto" w:fill="FFFFFF"/>
        </w:rPr>
        <w:t>Additionally, e</w:t>
      </w:r>
      <w:r w:rsidRPr="00005F3A">
        <w:rPr>
          <w:rFonts w:ascii="Times New Roman" w:hAnsi="Times New Roman" w:cs="Times New Roman"/>
          <w:szCs w:val="24"/>
          <w:shd w:val="clear" w:color="auto" w:fill="FFFFFF"/>
        </w:rPr>
        <w:t>xpert opinion</w:t>
      </w:r>
      <w:r>
        <w:rPr>
          <w:rFonts w:ascii="Times New Roman" w:hAnsi="Times New Roman" w:cs="Times New Roman"/>
          <w:szCs w:val="24"/>
          <w:shd w:val="clear" w:color="auto" w:fill="FFFFFF"/>
        </w:rPr>
        <w:t>s</w:t>
      </w:r>
      <w:r w:rsidRPr="00005F3A">
        <w:rPr>
          <w:rFonts w:ascii="Times New Roman" w:hAnsi="Times New Roman" w:cs="Times New Roman"/>
          <w:szCs w:val="24"/>
          <w:shd w:val="clear" w:color="auto" w:fill="FFFFFF"/>
        </w:rPr>
        <w:t xml:space="preserve"> must be premised upon assumptions that have a sufficient factual basis and take into account all relevant variables.</w:t>
      </w:r>
      <w:r w:rsidRPr="00005F3A">
        <w:rPr>
          <w:rFonts w:ascii="Times New Roman" w:hAnsi="Times New Roman" w:cs="Times New Roman"/>
          <w:szCs w:val="24"/>
          <w:shd w:val="clear" w:color="auto" w:fill="FFFFFF"/>
        </w:rPr>
        <w:t xml:space="preserve"> </w:t>
      </w:r>
      <w:r>
        <w:rPr>
          <w:rFonts w:ascii="Times New Roman" w:eastAsia="Times New Roman" w:hAnsi="Times New Roman" w:cs="Times New Roman"/>
          <w:szCs w:val="24"/>
        </w:rPr>
        <w:t>The qualification of an expert witness “</w:t>
      </w:r>
      <w:r w:rsidRPr="00005F3A">
        <w:rPr>
          <w:rFonts w:ascii="Times New Roman" w:hAnsi="Times New Roman" w:cs="Times New Roman"/>
          <w:szCs w:val="24"/>
          <w:shd w:val="clear" w:color="auto" w:fill="FFFFFF"/>
        </w:rPr>
        <w:t>rests largely within a trial court</w:t>
      </w:r>
      <w:r>
        <w:rPr>
          <w:rFonts w:ascii="Times New Roman" w:hAnsi="Times New Roman" w:cs="Times New Roman"/>
          <w:szCs w:val="24"/>
          <w:shd w:val="clear" w:color="auto" w:fill="FFFFFF"/>
        </w:rPr>
        <w:t>’</w:t>
      </w:r>
      <w:r w:rsidRPr="00005F3A">
        <w:rPr>
          <w:rFonts w:ascii="Times New Roman" w:hAnsi="Times New Roman" w:cs="Times New Roman"/>
          <w:szCs w:val="24"/>
          <w:shd w:val="clear" w:color="auto" w:fill="FFFFFF"/>
        </w:rPr>
        <w:t xml:space="preserve">s discretion. And, the fact that a witness is an expert in one </w:t>
      </w:r>
      <w:r w:rsidRPr="00005F3A">
        <w:rPr>
          <w:rFonts w:ascii="Times New Roman" w:hAnsi="Times New Roman" w:cs="Times New Roman"/>
          <w:szCs w:val="24"/>
          <w:shd w:val="clear" w:color="auto" w:fill="FFFFFF"/>
        </w:rPr>
        <w:t>field does not make him an expert in another field, even though that field is closely related.</w:t>
      </w:r>
      <w:r>
        <w:rPr>
          <w:rFonts w:ascii="Times New Roman" w:hAnsi="Times New Roman" w:cs="Times New Roman"/>
          <w:szCs w:val="24"/>
          <w:shd w:val="clear" w:color="auto" w:fill="FFFFFF"/>
        </w:rPr>
        <w:t>”</w:t>
      </w:r>
      <w:r w:rsidRPr="00005F3A">
        <w:rPr>
          <w:rFonts w:ascii="Times New Roman" w:hAnsi="Times New Roman" w:cs="Times New Roman"/>
          <w:szCs w:val="24"/>
          <w:shd w:val="clear" w:color="auto" w:fill="FFFFFF"/>
        </w:rPr>
        <w:t> </w:t>
      </w:r>
      <w:r>
        <w:rPr>
          <w:rStyle w:val="FootnoteReference"/>
          <w:rFonts w:ascii="Times New Roman" w:hAnsi="Times New Roman" w:cs="Times New Roman"/>
          <w:szCs w:val="24"/>
          <w:shd w:val="clear" w:color="auto" w:fill="FFFFFF"/>
        </w:rPr>
        <w:footnoteReference w:id="41"/>
      </w:r>
      <w:r w:rsidRPr="00A0741D">
        <w:rPr>
          <w:rFonts w:ascii="Times New Roman" w:hAnsi="Times New Roman" w:cs="Times New Roman"/>
          <w:szCs w:val="24"/>
          <w:bdr w:val="none" w:sz="0" w:space="0" w:color="auto" w:frame="1"/>
          <w:shd w:val="clear" w:color="auto" w:fill="FFFFFF"/>
        </w:rPr>
        <w:t xml:space="preserve"> </w:t>
      </w:r>
      <w:r>
        <w:rPr>
          <w:rStyle w:val="ssrfcpassagedeactivated"/>
          <w:rFonts w:ascii="Times New Roman" w:hAnsi="Times New Roman" w:cs="Times New Roman"/>
          <w:szCs w:val="24"/>
        </w:rPr>
        <w:t xml:space="preserve">Remember a good practical tip is that a life care planner </w:t>
      </w:r>
      <w:r w:rsidRPr="00005F3A">
        <w:rPr>
          <w:rStyle w:val="ssrfcpassagedeactivated"/>
          <w:rFonts w:ascii="Times New Roman" w:hAnsi="Times New Roman" w:cs="Times New Roman"/>
          <w:szCs w:val="24"/>
        </w:rPr>
        <w:t>should</w:t>
      </w:r>
      <w:r>
        <w:rPr>
          <w:rStyle w:val="ssrfcpassagedeactivated"/>
          <w:rFonts w:ascii="Times New Roman" w:hAnsi="Times New Roman" w:cs="Times New Roman"/>
          <w:szCs w:val="24"/>
        </w:rPr>
        <w:t xml:space="preserve"> seek additional recommendations from other qualified professionals, especially if the area is outside of the life care planners professional area of expertise.</w:t>
      </w:r>
      <w:r>
        <w:rPr>
          <w:rStyle w:val="FootnoteReference"/>
          <w:rFonts w:ascii="Times New Roman" w:hAnsi="Times New Roman" w:cs="Times New Roman"/>
          <w:szCs w:val="24"/>
        </w:rPr>
        <w:footnoteReference w:id="42"/>
      </w:r>
      <w:r>
        <w:rPr>
          <w:rStyle w:val="ssrfcpassagedeactivated"/>
          <w:rFonts w:ascii="Times New Roman" w:hAnsi="Times New Roman" w:cs="Times New Roman"/>
          <w:szCs w:val="24"/>
        </w:rPr>
        <w:t xml:space="preserve"> This will help add to the credibility of the life care planner in the eyes of the court. </w:t>
      </w:r>
    </w:p>
    <w:p w14:paraId="51105B4E" w14:textId="77777777" w:rsidR="00A0741D" w:rsidRDefault="005D2842" w:rsidP="00A0741D">
      <w:pPr>
        <w:ind w:firstLine="720"/>
        <w:rPr>
          <w:rStyle w:val="ssrfcpassagedeactivated"/>
          <w:rFonts w:ascii="Times New Roman" w:hAnsi="Times New Roman" w:cs="Times New Roman"/>
          <w:szCs w:val="24"/>
        </w:rPr>
      </w:pPr>
    </w:p>
    <w:p w14:paraId="7B8BB26C" w14:textId="77777777" w:rsidR="00694F99" w:rsidRPr="000E3338" w:rsidRDefault="005D2842" w:rsidP="000E3338">
      <w:pPr>
        <w:pStyle w:val="ListParagraph"/>
        <w:numPr>
          <w:ilvl w:val="0"/>
          <w:numId w:val="8"/>
        </w:numPr>
        <w:rPr>
          <w:rStyle w:val="ssrfcpassagedeactivated"/>
          <w:rFonts w:ascii="Times New Roman" w:hAnsi="Times New Roman" w:cs="Times New Roman"/>
          <w:szCs w:val="24"/>
          <w:u w:val="single"/>
        </w:rPr>
      </w:pPr>
      <w:r w:rsidRPr="000E3338">
        <w:rPr>
          <w:rStyle w:val="ssrfcpassagedeactivated"/>
          <w:rFonts w:ascii="Times New Roman" w:hAnsi="Times New Roman" w:cs="Times New Roman"/>
          <w:szCs w:val="24"/>
          <w:u w:val="single"/>
        </w:rPr>
        <w:t>Co</w:t>
      </w:r>
      <w:r w:rsidRPr="000E3338">
        <w:rPr>
          <w:rStyle w:val="ssrfcpassagedeactivated"/>
          <w:rFonts w:ascii="Times New Roman" w:hAnsi="Times New Roman" w:cs="Times New Roman"/>
          <w:szCs w:val="24"/>
          <w:u w:val="single"/>
        </w:rPr>
        <w:t>nclusio</w:t>
      </w:r>
      <w:r w:rsidRPr="000E3338">
        <w:rPr>
          <w:rStyle w:val="ssrfcpassagedeactivated"/>
          <w:rFonts w:ascii="Times New Roman" w:hAnsi="Times New Roman" w:cs="Times New Roman"/>
          <w:szCs w:val="24"/>
          <w:u w:val="single"/>
        </w:rPr>
        <w:t>n</w:t>
      </w:r>
      <w:r w:rsidRPr="000E3338">
        <w:rPr>
          <w:rStyle w:val="ssrfcpassagedeactivated"/>
          <w:rFonts w:ascii="Times New Roman" w:hAnsi="Times New Roman" w:cs="Times New Roman"/>
          <w:szCs w:val="24"/>
          <w:u w:val="single"/>
        </w:rPr>
        <w:t xml:space="preserve"> </w:t>
      </w:r>
    </w:p>
    <w:p w14:paraId="3948D970" w14:textId="77777777" w:rsidR="00694F99" w:rsidRDefault="005D2842" w:rsidP="00A0741D">
      <w:pPr>
        <w:ind w:firstLine="720"/>
        <w:rPr>
          <w:rStyle w:val="ssrfcpassagedeactivated"/>
          <w:rFonts w:ascii="Times New Roman" w:hAnsi="Times New Roman" w:cs="Times New Roman"/>
          <w:szCs w:val="24"/>
        </w:rPr>
      </w:pPr>
    </w:p>
    <w:p w14:paraId="3ACA6F6F" w14:textId="77777777" w:rsidR="00A0741D" w:rsidRDefault="005D2842" w:rsidP="00A0741D">
      <w:pPr>
        <w:ind w:firstLine="720"/>
        <w:rPr>
          <w:rStyle w:val="ssrfcpassagedeactivated"/>
          <w:rFonts w:ascii="Times New Roman" w:hAnsi="Times New Roman" w:cs="Times New Roman"/>
          <w:szCs w:val="24"/>
        </w:rPr>
      </w:pPr>
      <w:r>
        <w:rPr>
          <w:rStyle w:val="ssrfcpassagedeactivated"/>
          <w:rFonts w:ascii="Times New Roman" w:hAnsi="Times New Roman" w:cs="Times New Roman"/>
          <w:szCs w:val="24"/>
        </w:rPr>
        <w:t>Under the precedent discussed above, it is important to select a reputable life care planner who uses a detailed and traceable methodology which the court and the jury can understand and follow. There are limitations to any expert’s testimony, a</w:t>
      </w:r>
      <w:r>
        <w:rPr>
          <w:rStyle w:val="ssrfcpassagedeactivated"/>
          <w:rFonts w:ascii="Times New Roman" w:hAnsi="Times New Roman" w:cs="Times New Roman"/>
          <w:szCs w:val="24"/>
        </w:rPr>
        <w:t>s this testimony needs proper foundation and must conform the hearsay rules. However, Virginia Courts have generally been inclined to admit life care planners as expert witnesses. Examining life care planners or any expert witness can be difficult. It is e</w:t>
      </w:r>
      <w:r>
        <w:rPr>
          <w:rStyle w:val="ssrfcpassagedeactivated"/>
          <w:rFonts w:ascii="Times New Roman" w:hAnsi="Times New Roman" w:cs="Times New Roman"/>
          <w:szCs w:val="24"/>
        </w:rPr>
        <w:t xml:space="preserve">ssential to understand the precise methodology used by any  expert witness. It is also advisable that </w:t>
      </w:r>
      <w:r>
        <w:rPr>
          <w:rStyle w:val="ssrfcpassagedeactivated"/>
          <w:rFonts w:ascii="Times New Roman" w:hAnsi="Times New Roman" w:cs="Times New Roman"/>
          <w:szCs w:val="24"/>
        </w:rPr>
        <w:t xml:space="preserve">Virginia attorneys </w:t>
      </w:r>
      <w:r>
        <w:rPr>
          <w:rStyle w:val="ssrfcpassagedeactivated"/>
          <w:rFonts w:ascii="Times New Roman" w:hAnsi="Times New Roman" w:cs="Times New Roman"/>
          <w:szCs w:val="24"/>
        </w:rPr>
        <w:t>know the areas of expertise your expert specializes in, as the Court will often factor their experience into the calculation of whether</w:t>
      </w:r>
      <w:r>
        <w:rPr>
          <w:rStyle w:val="ssrfcpassagedeactivated"/>
          <w:rFonts w:ascii="Times New Roman" w:hAnsi="Times New Roman" w:cs="Times New Roman"/>
          <w:szCs w:val="24"/>
        </w:rPr>
        <w:t xml:space="preserve"> to admit their testimony. As a result, </w:t>
      </w:r>
      <w:r>
        <w:rPr>
          <w:rStyle w:val="ssrfcpassagedeactivated"/>
          <w:rFonts w:ascii="Times New Roman" w:hAnsi="Times New Roman" w:cs="Times New Roman"/>
          <w:szCs w:val="24"/>
        </w:rPr>
        <w:t xml:space="preserve">it is paramount that </w:t>
      </w:r>
      <w:r>
        <w:rPr>
          <w:rStyle w:val="ssrfcpassagedeactivated"/>
          <w:rFonts w:ascii="Times New Roman" w:hAnsi="Times New Roman" w:cs="Times New Roman"/>
          <w:szCs w:val="24"/>
        </w:rPr>
        <w:t xml:space="preserve">Virginia attorneys </w:t>
      </w:r>
      <w:r>
        <w:rPr>
          <w:rStyle w:val="ssrfcpassagedeactivated"/>
          <w:rFonts w:ascii="Times New Roman" w:hAnsi="Times New Roman" w:cs="Times New Roman"/>
          <w:szCs w:val="24"/>
        </w:rPr>
        <w:t>always ask, “</w:t>
      </w:r>
      <w:r>
        <w:rPr>
          <w:rStyle w:val="ssrfcpassagedeactivated"/>
          <w:rFonts w:ascii="Times New Roman" w:hAnsi="Times New Roman" w:cs="Times New Roman"/>
          <w:szCs w:val="24"/>
        </w:rPr>
        <w:t>who’s the expert?</w:t>
      </w:r>
      <w:r>
        <w:rPr>
          <w:rStyle w:val="ssrfcpassagedeactivated"/>
          <w:rFonts w:ascii="Times New Roman" w:hAnsi="Times New Roman" w:cs="Times New Roman"/>
          <w:szCs w:val="24"/>
        </w:rPr>
        <w:t>”</w:t>
      </w:r>
      <w:r>
        <w:rPr>
          <w:rStyle w:val="ssrfcpassagedeactivated"/>
          <w:rFonts w:ascii="Times New Roman" w:hAnsi="Times New Roman" w:cs="Times New Roman"/>
          <w:szCs w:val="24"/>
        </w:rPr>
        <w:t xml:space="preserve"> </w:t>
      </w:r>
    </w:p>
    <w:sectPr w:rsidR="00A0741D" w:rsidSect="007608E8">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3FF62" w14:textId="77777777" w:rsidR="00000000" w:rsidRDefault="005D2842">
      <w:r>
        <w:separator/>
      </w:r>
    </w:p>
  </w:endnote>
  <w:endnote w:type="continuationSeparator" w:id="0">
    <w:p w14:paraId="53D5DF09" w14:textId="77777777" w:rsidR="00000000" w:rsidRDefault="005D2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CE600" w14:textId="77777777" w:rsidR="00BE0060" w:rsidRDefault="005D28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3303834"/>
      <w:docPartObj>
        <w:docPartGallery w:val="Page Numbers (Bottom of Page)"/>
        <w:docPartUnique/>
      </w:docPartObj>
    </w:sdtPr>
    <w:sdtEndPr>
      <w:rPr>
        <w:noProof/>
      </w:rPr>
    </w:sdtEndPr>
    <w:sdtContent>
      <w:p w14:paraId="5FA31E9F" w14:textId="77777777" w:rsidR="007608E8" w:rsidRDefault="005D2842" w:rsidP="007608E8">
        <w:pPr>
          <w:pStyle w:val="Footer"/>
          <w:jc w:val="right"/>
        </w:pPr>
        <w:r>
          <w:fldChar w:fldCharType="begin"/>
        </w:r>
        <w:r>
          <w:instrText xml:space="preserve"> PAGE   \* MERGEFORMAT </w:instrText>
        </w:r>
        <w:r>
          <w:fldChar w:fldCharType="separate"/>
        </w:r>
        <w: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8BF78" w14:textId="77777777" w:rsidR="00BE0060" w:rsidRDefault="005D2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1D5B0" w14:textId="77777777" w:rsidR="007608E8" w:rsidRDefault="005D2842" w:rsidP="00010924">
      <w:r>
        <w:separator/>
      </w:r>
    </w:p>
  </w:footnote>
  <w:footnote w:type="continuationSeparator" w:id="0">
    <w:p w14:paraId="1D963358" w14:textId="77777777" w:rsidR="007608E8" w:rsidRDefault="005D2842" w:rsidP="00010924">
      <w:r>
        <w:continuationSeparator/>
      </w:r>
    </w:p>
  </w:footnote>
  <w:footnote w:id="1">
    <w:p w14:paraId="01A9ABD3" w14:textId="77777777" w:rsidR="007608E8" w:rsidRPr="002D06D7" w:rsidRDefault="005D2842">
      <w:pPr>
        <w:pStyle w:val="FootnoteText"/>
        <w:rPr>
          <w:rFonts w:ascii="Times New Roman" w:hAnsi="Times New Roman" w:cs="Times New Roman"/>
        </w:rPr>
      </w:pPr>
      <w:r>
        <w:rPr>
          <w:rStyle w:val="FootnoteReference"/>
        </w:rPr>
        <w:footnoteRef/>
      </w:r>
      <w:r>
        <w:t xml:space="preserve"> </w:t>
      </w:r>
      <w:r w:rsidRPr="002D06D7">
        <w:rPr>
          <w:rFonts w:ascii="Times New Roman" w:hAnsi="Times New Roman" w:cs="Times New Roman"/>
        </w:rPr>
        <w:t xml:space="preserve">Penelope Caragonne, Keith Sofkais, Wendie Howlandis, </w:t>
      </w:r>
      <w:hyperlink r:id="rId1" w:history="1">
        <w:r w:rsidRPr="002D06D7">
          <w:rPr>
            <w:rStyle w:val="Hyperlink"/>
            <w:rFonts w:ascii="Times New Roman" w:hAnsi="Times New Roman" w:cs="Times New Roman"/>
            <w:i/>
            <w:iCs/>
            <w:color w:val="auto"/>
            <w:u w:val="none"/>
            <w:bdr w:val="none" w:sz="0" w:space="0" w:color="auto" w:frame="1"/>
            <w:shd w:val="clear" w:color="auto" w:fill="FFFFFF"/>
          </w:rPr>
          <w:t>Frameworks for Eva</w:t>
        </w:r>
        <w:r w:rsidRPr="002D06D7">
          <w:rPr>
            <w:rStyle w:val="Hyperlink"/>
            <w:rFonts w:ascii="Times New Roman" w:hAnsi="Times New Roman" w:cs="Times New Roman"/>
            <w:i/>
            <w:iCs/>
            <w:color w:val="auto"/>
            <w:u w:val="none"/>
            <w:bdr w:val="none" w:sz="0" w:space="0" w:color="auto" w:frame="1"/>
            <w:shd w:val="clear" w:color="auto" w:fill="FFFFFF"/>
          </w:rPr>
          <w:t>luating Life Care Plans</w:t>
        </w:r>
        <w:r w:rsidRPr="002D06D7">
          <w:rPr>
            <w:rStyle w:val="Hyperlink"/>
            <w:rFonts w:ascii="Times New Roman" w:hAnsi="Times New Roman" w:cs="Times New Roman"/>
            <w:color w:val="auto"/>
            <w:u w:val="none"/>
            <w:bdr w:val="none" w:sz="0" w:space="0" w:color="auto" w:frame="1"/>
            <w:shd w:val="clear" w:color="auto" w:fill="FFFFFF"/>
          </w:rPr>
          <w:t xml:space="preserve">, 32 Health     </w:t>
        </w:r>
        <w:r>
          <w:rPr>
            <w:rStyle w:val="Hyperlink"/>
            <w:rFonts w:ascii="Times New Roman" w:hAnsi="Times New Roman" w:cs="Times New Roman"/>
            <w:color w:val="auto"/>
            <w:u w:val="none"/>
            <w:bdr w:val="none" w:sz="0" w:space="0" w:color="auto" w:frame="1"/>
            <w:shd w:val="clear" w:color="auto" w:fill="FFFFFF"/>
          </w:rPr>
          <w:t xml:space="preserve">    </w:t>
        </w:r>
        <w:r w:rsidRPr="002D06D7">
          <w:rPr>
            <w:rStyle w:val="Hyperlink"/>
            <w:rFonts w:ascii="Times New Roman" w:hAnsi="Times New Roman" w:cs="Times New Roman"/>
            <w:color w:val="auto"/>
            <w:u w:val="none"/>
            <w:bdr w:val="none" w:sz="0" w:space="0" w:color="auto" w:frame="1"/>
            <w:shd w:val="clear" w:color="auto" w:fill="FFFFFF"/>
          </w:rPr>
          <w:t xml:space="preserve">Lawyer 34 </w:t>
        </w:r>
      </w:hyperlink>
      <w:r w:rsidRPr="002D06D7">
        <w:rPr>
          <w:rFonts w:ascii="Times New Roman" w:eastAsia="Times New Roman" w:hAnsi="Times New Roman" w:cs="Times New Roman"/>
        </w:rPr>
        <w:t xml:space="preserve">(October 2019). </w:t>
      </w:r>
    </w:p>
  </w:footnote>
  <w:footnote w:id="2">
    <w:p w14:paraId="653170FA" w14:textId="77777777" w:rsidR="007608E8" w:rsidRPr="002D06D7" w:rsidRDefault="005D2842" w:rsidP="00D94CFD">
      <w:pPr>
        <w:rPr>
          <w:rFonts w:ascii="Times New Roman" w:hAnsi="Times New Roman" w:cs="Times New Roman"/>
          <w:sz w:val="20"/>
          <w:szCs w:val="20"/>
        </w:rPr>
      </w:pPr>
      <w:r w:rsidRPr="002D06D7">
        <w:rPr>
          <w:rStyle w:val="FootnoteReference"/>
          <w:rFonts w:ascii="Times New Roman" w:hAnsi="Times New Roman" w:cs="Times New Roman"/>
          <w:sz w:val="20"/>
          <w:szCs w:val="20"/>
        </w:rPr>
        <w:footnoteRef/>
      </w:r>
      <w:r w:rsidRPr="002D06D7">
        <w:rPr>
          <w:rFonts w:ascii="Times New Roman" w:hAnsi="Times New Roman" w:cs="Times New Roman"/>
          <w:sz w:val="20"/>
          <w:szCs w:val="20"/>
        </w:rPr>
        <w:t xml:space="preserve"> </w:t>
      </w:r>
      <w:bookmarkStart w:id="1" w:name="_Hlk32997754"/>
      <w:r w:rsidRPr="002D06D7">
        <w:rPr>
          <w:rFonts w:ascii="Times New Roman" w:eastAsia="Times New Roman" w:hAnsi="Times New Roman" w:cs="Times New Roman"/>
          <w:sz w:val="20"/>
          <w:szCs w:val="20"/>
        </w:rPr>
        <w:t xml:space="preserve">International Academy of Life Care Planners, The Life Care Planning Section of the International Association of Rehabilitation Professionals, </w:t>
      </w:r>
      <w:r w:rsidRPr="00194F11">
        <w:rPr>
          <w:rFonts w:ascii="Times New Roman" w:eastAsia="Times New Roman" w:hAnsi="Times New Roman" w:cs="Times New Roman"/>
          <w:i/>
          <w:iCs/>
          <w:sz w:val="20"/>
          <w:szCs w:val="20"/>
        </w:rPr>
        <w:t>Standards of Practice for Life Care Planners</w:t>
      </w:r>
      <w:r w:rsidRPr="002D06D7">
        <w:rPr>
          <w:rFonts w:ascii="Times New Roman" w:eastAsia="Times New Roman" w:hAnsi="Times New Roman" w:cs="Times New Roman"/>
          <w:sz w:val="20"/>
          <w:szCs w:val="20"/>
        </w:rPr>
        <w:t xml:space="preserve">, Third Edition (2015) (quoting from International Conference on Life </w:t>
      </w:r>
      <w:r w:rsidRPr="002D06D7">
        <w:rPr>
          <w:rFonts w:ascii="Times New Roman" w:eastAsia="Times New Roman" w:hAnsi="Times New Roman" w:cs="Times New Roman"/>
          <w:sz w:val="20"/>
          <w:szCs w:val="20"/>
        </w:rPr>
        <w:t>Care Planning and the International Academy of Life Care Planners (Adopted 1998, April)).</w:t>
      </w:r>
      <w:bookmarkEnd w:id="1"/>
    </w:p>
  </w:footnote>
  <w:footnote w:id="3">
    <w:p w14:paraId="34C810EC" w14:textId="77777777" w:rsidR="007608E8" w:rsidRPr="002D06D7" w:rsidRDefault="005D2842">
      <w:pPr>
        <w:pStyle w:val="FootnoteText"/>
        <w:rPr>
          <w:rFonts w:ascii="Times New Roman" w:hAnsi="Times New Roman" w:cs="Times New Roman"/>
        </w:rPr>
      </w:pPr>
      <w:r w:rsidRPr="002D06D7">
        <w:rPr>
          <w:rStyle w:val="FootnoteReference"/>
          <w:rFonts w:ascii="Times New Roman" w:hAnsi="Times New Roman" w:cs="Times New Roman"/>
        </w:rPr>
        <w:footnoteRef/>
      </w:r>
      <w:r w:rsidRPr="002D06D7">
        <w:rPr>
          <w:rFonts w:ascii="Times New Roman" w:hAnsi="Times New Roman" w:cs="Times New Roman"/>
        </w:rPr>
        <w:t xml:space="preserve"> Caragonne, Sofkais, Howlandis, supra note 1, at 34. </w:t>
      </w:r>
    </w:p>
  </w:footnote>
  <w:footnote w:id="4">
    <w:p w14:paraId="7A3DF477" w14:textId="77777777" w:rsidR="007608E8" w:rsidRDefault="005D2842">
      <w:pPr>
        <w:pStyle w:val="FootnoteText"/>
      </w:pPr>
      <w:r w:rsidRPr="002D06D7">
        <w:rPr>
          <w:rStyle w:val="FootnoteReference"/>
          <w:rFonts w:ascii="Times New Roman" w:hAnsi="Times New Roman" w:cs="Times New Roman"/>
        </w:rPr>
        <w:footnoteRef/>
      </w:r>
      <w:r w:rsidRPr="002D06D7">
        <w:rPr>
          <w:rFonts w:ascii="Times New Roman" w:hAnsi="Times New Roman" w:cs="Times New Roman"/>
        </w:rPr>
        <w:t xml:space="preserve"> </w:t>
      </w:r>
      <w:r w:rsidRPr="00194F11">
        <w:rPr>
          <w:rFonts w:ascii="Times New Roman" w:hAnsi="Times New Roman" w:cs="Times New Roman"/>
          <w:i/>
          <w:iCs/>
        </w:rPr>
        <w:t>Boden v. United States</w:t>
      </w:r>
      <w:r>
        <w:rPr>
          <w:rFonts w:ascii="Times New Roman" w:hAnsi="Times New Roman" w:cs="Times New Roman"/>
          <w:i/>
          <w:iCs/>
        </w:rPr>
        <w:t>,</w:t>
      </w:r>
      <w:r w:rsidRPr="002D06D7">
        <w:rPr>
          <w:rFonts w:ascii="Times New Roman" w:hAnsi="Times New Roman" w:cs="Times New Roman"/>
        </w:rPr>
        <w:t xml:space="preserve"> No. </w:t>
      </w:r>
      <w:r w:rsidRPr="002D06D7">
        <w:rPr>
          <w:rFonts w:ascii="Times New Roman" w:hAnsi="Times New Roman" w:cs="Times New Roman"/>
          <w:shd w:val="clear" w:color="auto" w:fill="FFFFFF"/>
        </w:rPr>
        <w:t xml:space="preserve">7:18cv00256, </w:t>
      </w:r>
      <w:r w:rsidRPr="002D06D7">
        <w:rPr>
          <w:rFonts w:ascii="Times New Roman" w:hAnsi="Times New Roman" w:cs="Times New Roman"/>
        </w:rPr>
        <w:t>2019 U.S. Dist. LEXIS 217141 at 6 (W.D. Va. Dec. 17, 2019)</w:t>
      </w:r>
      <w:r>
        <w:rPr>
          <w:rFonts w:ascii="Times New Roman" w:hAnsi="Times New Roman" w:cs="Times New Roman"/>
        </w:rPr>
        <w:t>.</w:t>
      </w:r>
    </w:p>
  </w:footnote>
  <w:footnote w:id="5">
    <w:p w14:paraId="35D8650E" w14:textId="77777777" w:rsidR="007608E8" w:rsidRDefault="005D2842">
      <w:pPr>
        <w:pStyle w:val="FootnoteText"/>
      </w:pPr>
      <w:r>
        <w:rPr>
          <w:rStyle w:val="FootnoteReference"/>
        </w:rPr>
        <w:footnoteRef/>
      </w:r>
      <w:r>
        <w:t xml:space="preserve"> </w:t>
      </w:r>
      <w:r w:rsidRPr="002D06D7">
        <w:rPr>
          <w:i/>
          <w:iCs/>
        </w:rPr>
        <w:t>Id</w:t>
      </w:r>
      <w:r>
        <w:t xml:space="preserve">. at </w:t>
      </w:r>
      <w:r>
        <w:rPr>
          <w:rFonts w:ascii="Times New Roman" w:hAnsi="Times New Roman" w:cs="Times New Roman"/>
          <w:szCs w:val="24"/>
        </w:rPr>
        <w:t xml:space="preserve">6-7. </w:t>
      </w:r>
    </w:p>
  </w:footnote>
  <w:footnote w:id="6">
    <w:p w14:paraId="49A98C3F" w14:textId="77777777" w:rsidR="007608E8" w:rsidRDefault="005D2842">
      <w:pPr>
        <w:pStyle w:val="FootnoteText"/>
      </w:pPr>
      <w:r>
        <w:rPr>
          <w:rStyle w:val="FootnoteReference"/>
        </w:rPr>
        <w:footnoteRef/>
      </w:r>
      <w:r>
        <w:t xml:space="preserve"> </w:t>
      </w:r>
      <w:r w:rsidRPr="002D06D7">
        <w:rPr>
          <w:i/>
          <w:iCs/>
        </w:rPr>
        <w:t>Id</w:t>
      </w:r>
      <w:r>
        <w:t>. at 14.</w:t>
      </w:r>
    </w:p>
  </w:footnote>
  <w:footnote w:id="7">
    <w:p w14:paraId="087635A4" w14:textId="77777777" w:rsidR="007608E8" w:rsidRDefault="005D2842">
      <w:pPr>
        <w:pStyle w:val="FootnoteText"/>
      </w:pPr>
      <w:r>
        <w:rPr>
          <w:rStyle w:val="FootnoteReference"/>
        </w:rPr>
        <w:footnoteRef/>
      </w:r>
      <w:r>
        <w:t xml:space="preserve"> </w:t>
      </w:r>
      <w:hyperlink r:id="rId2" w:history="1">
        <w:r w:rsidRPr="002D06D7">
          <w:rPr>
            <w:rStyle w:val="ssun"/>
            <w:rFonts w:ascii="Times New Roman" w:hAnsi="Times New Roman" w:cs="Times New Roman"/>
            <w:i/>
            <w:iCs/>
            <w:szCs w:val="24"/>
            <w:bdr w:val="none" w:sz="0" w:space="0" w:color="auto" w:frame="1"/>
            <w:shd w:val="clear" w:color="auto" w:fill="FFFFFF"/>
          </w:rPr>
          <w:t>Daubert v. Merrell Dow Pharms</w:t>
        </w:r>
        <w:r w:rsidRPr="002D06D7">
          <w:rPr>
            <w:rStyle w:val="Hyperlink"/>
            <w:rFonts w:ascii="Times New Roman" w:hAnsi="Times New Roman" w:cs="Times New Roman"/>
            <w:i/>
            <w:iCs/>
            <w:color w:val="auto"/>
            <w:szCs w:val="24"/>
            <w:u w:val="none"/>
            <w:bdr w:val="none" w:sz="0" w:space="0" w:color="auto" w:frame="1"/>
            <w:shd w:val="clear" w:color="auto" w:fill="FFFFFF"/>
          </w:rPr>
          <w:t>. Inc</w:t>
        </w:r>
        <w:r w:rsidRPr="00005F3A">
          <w:rPr>
            <w:rStyle w:val="Hyperlink"/>
            <w:rFonts w:ascii="Times New Roman" w:hAnsi="Times New Roman" w:cs="Times New Roman"/>
            <w:color w:val="auto"/>
            <w:szCs w:val="24"/>
            <w:u w:val="none"/>
            <w:bdr w:val="none" w:sz="0" w:space="0" w:color="auto" w:frame="1"/>
            <w:shd w:val="clear" w:color="auto" w:fill="FFFFFF"/>
          </w:rPr>
          <w:t>., 509 U.S. 579,</w:t>
        </w:r>
        <w:r>
          <w:rPr>
            <w:rStyle w:val="Hyperlink"/>
            <w:rFonts w:ascii="Times New Roman" w:hAnsi="Times New Roman" w:cs="Times New Roman"/>
            <w:color w:val="auto"/>
            <w:szCs w:val="24"/>
            <w:u w:val="none"/>
            <w:bdr w:val="none" w:sz="0" w:space="0" w:color="auto" w:frame="1"/>
            <w:shd w:val="clear" w:color="auto" w:fill="FFFFFF"/>
          </w:rPr>
          <w:t xml:space="preserve"> 589</w:t>
        </w:r>
        <w:r w:rsidRPr="00005F3A">
          <w:rPr>
            <w:rStyle w:val="Hyperlink"/>
            <w:rFonts w:ascii="Times New Roman" w:hAnsi="Times New Roman" w:cs="Times New Roman"/>
            <w:color w:val="auto"/>
            <w:szCs w:val="24"/>
            <w:u w:val="none"/>
            <w:bdr w:val="none" w:sz="0" w:space="0" w:color="auto" w:frame="1"/>
            <w:shd w:val="clear" w:color="auto" w:fill="FFFFFF"/>
          </w:rPr>
          <w:t xml:space="preserve"> (1993)</w:t>
        </w:r>
      </w:hyperlink>
      <w:r>
        <w:rPr>
          <w:rStyle w:val="Hyperlink"/>
          <w:rFonts w:ascii="Times New Roman" w:hAnsi="Times New Roman" w:cs="Times New Roman"/>
          <w:color w:val="auto"/>
          <w:szCs w:val="24"/>
          <w:u w:val="none"/>
          <w:bdr w:val="none" w:sz="0" w:space="0" w:color="auto" w:frame="1"/>
          <w:shd w:val="clear" w:color="auto" w:fill="FFFFFF"/>
        </w:rPr>
        <w:t>.</w:t>
      </w:r>
    </w:p>
  </w:footnote>
  <w:footnote w:id="8">
    <w:p w14:paraId="39F48582" w14:textId="77777777" w:rsidR="007608E8" w:rsidRDefault="005D2842">
      <w:pPr>
        <w:pStyle w:val="FootnoteText"/>
      </w:pPr>
      <w:r>
        <w:rPr>
          <w:rStyle w:val="FootnoteReference"/>
        </w:rPr>
        <w:footnoteRef/>
      </w:r>
      <w:r>
        <w:t xml:space="preserve"> </w:t>
      </w:r>
      <w:r w:rsidRPr="00194F11">
        <w:rPr>
          <w:rFonts w:ascii="Times New Roman" w:hAnsi="Times New Roman" w:cs="Times New Roman"/>
          <w:i/>
          <w:iCs/>
          <w:szCs w:val="24"/>
        </w:rPr>
        <w:t>Id</w:t>
      </w:r>
      <w:r>
        <w:rPr>
          <w:rFonts w:ascii="Times New Roman" w:hAnsi="Times New Roman" w:cs="Times New Roman"/>
          <w:szCs w:val="24"/>
        </w:rPr>
        <w:t>. at 59</w:t>
      </w:r>
      <w:r>
        <w:rPr>
          <w:rFonts w:ascii="Times New Roman" w:hAnsi="Times New Roman" w:cs="Times New Roman"/>
          <w:szCs w:val="24"/>
        </w:rPr>
        <w:t>1.</w:t>
      </w:r>
    </w:p>
  </w:footnote>
  <w:footnote w:id="9">
    <w:p w14:paraId="74B29727" w14:textId="77777777" w:rsidR="007608E8" w:rsidRDefault="005D2842">
      <w:pPr>
        <w:pStyle w:val="FootnoteText"/>
      </w:pPr>
      <w:r>
        <w:rPr>
          <w:rStyle w:val="FootnoteReference"/>
        </w:rPr>
        <w:footnoteRef/>
      </w:r>
      <w:r>
        <w:t xml:space="preserve"> </w:t>
      </w:r>
      <w:r w:rsidRPr="00442930">
        <w:rPr>
          <w:i/>
          <w:iCs/>
        </w:rPr>
        <w:t xml:space="preserve">See </w:t>
      </w:r>
      <w:hyperlink r:id="rId3" w:history="1">
        <w:r w:rsidRPr="00442930">
          <w:rPr>
            <w:rStyle w:val="ssun"/>
            <w:rFonts w:ascii="Times New Roman" w:hAnsi="Times New Roman" w:cs="Times New Roman"/>
            <w:i/>
            <w:iCs/>
            <w:szCs w:val="24"/>
            <w:bdr w:val="none" w:sz="0" w:space="0" w:color="auto" w:frame="1"/>
            <w:shd w:val="clear" w:color="auto" w:fill="FFFFFF"/>
          </w:rPr>
          <w:t>Kumho Tire Co., Ltd. v. Carmichael</w:t>
        </w:r>
        <w:r w:rsidRPr="00005F3A">
          <w:rPr>
            <w:rStyle w:val="Hyperlink"/>
            <w:rFonts w:ascii="Times New Roman" w:hAnsi="Times New Roman" w:cs="Times New Roman"/>
            <w:color w:val="auto"/>
            <w:szCs w:val="24"/>
            <w:u w:val="none"/>
            <w:bdr w:val="none" w:sz="0" w:space="0" w:color="auto" w:frame="1"/>
            <w:shd w:val="clear" w:color="auto" w:fill="FFFFFF"/>
          </w:rPr>
          <w:t xml:space="preserve"> 526 U.S. 137</w:t>
        </w:r>
        <w:r>
          <w:rPr>
            <w:rStyle w:val="Hyperlink"/>
            <w:rFonts w:ascii="Times New Roman" w:hAnsi="Times New Roman" w:cs="Times New Roman"/>
            <w:color w:val="auto"/>
            <w:szCs w:val="24"/>
            <w:u w:val="none"/>
            <w:bdr w:val="none" w:sz="0" w:space="0" w:color="auto" w:frame="1"/>
            <w:shd w:val="clear" w:color="auto" w:fill="FFFFFF"/>
          </w:rPr>
          <w:t>, 141</w:t>
        </w:r>
        <w:r w:rsidRPr="00005F3A">
          <w:rPr>
            <w:rStyle w:val="Hyperlink"/>
            <w:rFonts w:ascii="Times New Roman" w:hAnsi="Times New Roman" w:cs="Times New Roman"/>
            <w:color w:val="auto"/>
            <w:szCs w:val="24"/>
            <w:u w:val="none"/>
            <w:bdr w:val="none" w:sz="0" w:space="0" w:color="auto" w:frame="1"/>
            <w:shd w:val="clear" w:color="auto" w:fill="FFFFFF"/>
          </w:rPr>
          <w:t xml:space="preserve"> (1999)</w:t>
        </w:r>
      </w:hyperlink>
      <w:r>
        <w:rPr>
          <w:rStyle w:val="Hyperlink"/>
          <w:rFonts w:ascii="Times New Roman" w:hAnsi="Times New Roman" w:cs="Times New Roman"/>
          <w:color w:val="auto"/>
          <w:szCs w:val="24"/>
          <w:u w:val="none"/>
          <w:bdr w:val="none" w:sz="0" w:space="0" w:color="auto" w:frame="1"/>
          <w:shd w:val="clear" w:color="auto" w:fill="FFFFFF"/>
        </w:rPr>
        <w:t xml:space="preserve"> (noting the applicable rules for expert testimony). </w:t>
      </w:r>
    </w:p>
  </w:footnote>
  <w:footnote w:id="10">
    <w:p w14:paraId="025DA596" w14:textId="77777777" w:rsidR="007608E8" w:rsidRPr="00306099" w:rsidRDefault="005D2842">
      <w:pPr>
        <w:pStyle w:val="FootnoteText"/>
        <w:rPr>
          <w:rFonts w:ascii="Times New Roman" w:hAnsi="Times New Roman" w:cs="Times New Roman"/>
        </w:rPr>
      </w:pPr>
      <w:r>
        <w:rPr>
          <w:rStyle w:val="FootnoteReference"/>
        </w:rPr>
        <w:footnoteRef/>
      </w:r>
      <w:r>
        <w:t xml:space="preserve"> </w:t>
      </w:r>
      <w:r w:rsidRPr="00194F11">
        <w:rPr>
          <w:rFonts w:ascii="Times New Roman" w:hAnsi="Times New Roman" w:cs="Times New Roman"/>
          <w:i/>
          <w:iCs/>
        </w:rPr>
        <w:t>Boden</w:t>
      </w:r>
      <w:r w:rsidRPr="00306099">
        <w:rPr>
          <w:rFonts w:ascii="Times New Roman" w:hAnsi="Times New Roman" w:cs="Times New Roman"/>
        </w:rPr>
        <w:t xml:space="preserve">, supra note 4, at 8, </w:t>
      </w:r>
      <w:r w:rsidRPr="00194F11">
        <w:rPr>
          <w:rFonts w:ascii="Times New Roman" w:hAnsi="Times New Roman" w:cs="Times New Roman"/>
          <w:i/>
          <w:iCs/>
        </w:rPr>
        <w:t>quoting</w:t>
      </w:r>
      <w:r w:rsidRPr="00306099">
        <w:rPr>
          <w:rFonts w:ascii="Times New Roman" w:hAnsi="Times New Roman" w:cs="Times New Roman"/>
        </w:rPr>
        <w:t xml:space="preserve"> </w:t>
      </w:r>
      <w:r w:rsidRPr="00194F11">
        <w:rPr>
          <w:rStyle w:val="ssun"/>
          <w:rFonts w:ascii="Times New Roman" w:hAnsi="Times New Roman" w:cs="Times New Roman"/>
          <w:i/>
          <w:iCs/>
          <w:bdr w:val="none" w:sz="0" w:space="0" w:color="auto" w:frame="1"/>
          <w:shd w:val="clear" w:color="auto" w:fill="FFFFFF"/>
        </w:rPr>
        <w:t>RG Steel Sparrows Point, LLC v. Kinder Morgan Bulk Terminals, Inc</w:t>
      </w:r>
      <w:r w:rsidRPr="00306099">
        <w:rPr>
          <w:rStyle w:val="ssun"/>
          <w:rFonts w:ascii="Times New Roman" w:hAnsi="Times New Roman" w:cs="Times New Roman"/>
          <w:bdr w:val="none" w:sz="0" w:space="0" w:color="auto" w:frame="1"/>
          <w:shd w:val="clear" w:color="auto" w:fill="FFFFFF"/>
        </w:rPr>
        <w:t>.</w:t>
      </w:r>
      <w:r w:rsidRPr="00306099">
        <w:rPr>
          <w:rStyle w:val="ssrfcpassagedeactivated"/>
          <w:rFonts w:ascii="Times New Roman" w:hAnsi="Times New Roman" w:cs="Times New Roman"/>
          <w:bdr w:val="none" w:sz="0" w:space="0" w:color="auto" w:frame="1"/>
          <w:shd w:val="clear" w:color="auto" w:fill="FFFFFF"/>
        </w:rPr>
        <w:t>, 609 F. App’x 731, 738 (4th Cir. 2015). </w:t>
      </w:r>
    </w:p>
  </w:footnote>
  <w:footnote w:id="11">
    <w:p w14:paraId="5DA62D0E" w14:textId="77777777" w:rsidR="007608E8" w:rsidRPr="00306099" w:rsidRDefault="005D2842" w:rsidP="00902C68">
      <w:pPr>
        <w:rPr>
          <w:rFonts w:ascii="Times New Roman" w:hAnsi="Times New Roman" w:cs="Times New Roman"/>
          <w:sz w:val="20"/>
          <w:szCs w:val="20"/>
        </w:rPr>
      </w:pPr>
      <w:r w:rsidRPr="00306099">
        <w:rPr>
          <w:rStyle w:val="FootnoteReference"/>
          <w:rFonts w:ascii="Times New Roman" w:hAnsi="Times New Roman" w:cs="Times New Roman"/>
          <w:sz w:val="20"/>
          <w:szCs w:val="20"/>
        </w:rPr>
        <w:footnoteRef/>
      </w:r>
      <w:r w:rsidRPr="00306099">
        <w:rPr>
          <w:rFonts w:ascii="Times New Roman" w:hAnsi="Times New Roman" w:cs="Times New Roman"/>
          <w:sz w:val="20"/>
          <w:szCs w:val="20"/>
        </w:rPr>
        <w:t xml:space="preserve"> See </w:t>
      </w:r>
      <w:r w:rsidRPr="00194F11">
        <w:rPr>
          <w:rStyle w:val="ssun"/>
          <w:rFonts w:ascii="Times New Roman" w:hAnsi="Times New Roman" w:cs="Times New Roman"/>
          <w:i/>
          <w:iCs/>
          <w:sz w:val="20"/>
          <w:szCs w:val="20"/>
          <w:bdr w:val="none" w:sz="0" w:space="0" w:color="auto" w:frame="1"/>
          <w:shd w:val="clear" w:color="auto" w:fill="FFFFFF"/>
        </w:rPr>
        <w:t>United States v. Dorsey</w:t>
      </w:r>
      <w:r w:rsidRPr="00306099">
        <w:rPr>
          <w:rStyle w:val="ssrfcpassagedeactivated"/>
          <w:rFonts w:ascii="Times New Roman" w:hAnsi="Times New Roman" w:cs="Times New Roman"/>
          <w:sz w:val="20"/>
          <w:szCs w:val="20"/>
          <w:bdr w:val="none" w:sz="0" w:space="0" w:color="auto" w:frame="1"/>
          <w:shd w:val="clear" w:color="auto" w:fill="FFFFFF"/>
        </w:rPr>
        <w:t xml:space="preserve">, 45 F.3d 809, 814 (4th </w:t>
      </w:r>
      <w:r w:rsidRPr="00306099">
        <w:rPr>
          <w:rStyle w:val="ssrfcpassagedeactivated"/>
          <w:rFonts w:ascii="Times New Roman" w:hAnsi="Times New Roman" w:cs="Times New Roman"/>
          <w:sz w:val="20"/>
          <w:szCs w:val="20"/>
          <w:bdr w:val="none" w:sz="0" w:space="0" w:color="auto" w:frame="1"/>
          <w:shd w:val="clear" w:color="auto" w:fill="FFFFFF"/>
        </w:rPr>
        <w:t>Cir. 1995) (stating that “[a] trial judge has a great deal of discretion in deciding whether to admit or exclude expert testimony.</w:t>
      </w:r>
      <w:r>
        <w:rPr>
          <w:rStyle w:val="ssrfcpassagedeactivated"/>
          <w:rFonts w:ascii="Times New Roman" w:hAnsi="Times New Roman" w:cs="Times New Roman"/>
          <w:sz w:val="20"/>
          <w:szCs w:val="20"/>
          <w:bdr w:val="none" w:sz="0" w:space="0" w:color="auto" w:frame="1"/>
          <w:shd w:val="clear" w:color="auto" w:fill="FFFFFF"/>
        </w:rPr>
        <w:t>”</w:t>
      </w:r>
      <w:r w:rsidRPr="00306099">
        <w:rPr>
          <w:rStyle w:val="ssrfcpassagedeactivated"/>
          <w:rFonts w:ascii="Times New Roman" w:hAnsi="Times New Roman" w:cs="Times New Roman"/>
          <w:sz w:val="20"/>
          <w:szCs w:val="20"/>
          <w:bdr w:val="none" w:sz="0" w:space="0" w:color="auto" w:frame="1"/>
          <w:shd w:val="clear" w:color="auto" w:fill="FFFFFF"/>
        </w:rPr>
        <w:t xml:space="preserve">). </w:t>
      </w:r>
    </w:p>
  </w:footnote>
  <w:footnote w:id="12">
    <w:p w14:paraId="4B1B4974" w14:textId="77777777" w:rsidR="007608E8" w:rsidRPr="00306099" w:rsidRDefault="005D2842">
      <w:pPr>
        <w:pStyle w:val="FootnoteText"/>
        <w:rPr>
          <w:rFonts w:ascii="Times New Roman" w:hAnsi="Times New Roman" w:cs="Times New Roman"/>
        </w:rPr>
      </w:pPr>
      <w:r w:rsidRPr="00306099">
        <w:rPr>
          <w:rStyle w:val="FootnoteReference"/>
          <w:rFonts w:ascii="Times New Roman" w:hAnsi="Times New Roman" w:cs="Times New Roman"/>
        </w:rPr>
        <w:footnoteRef/>
      </w:r>
      <w:r w:rsidRPr="00306099">
        <w:rPr>
          <w:rFonts w:ascii="Times New Roman" w:hAnsi="Times New Roman" w:cs="Times New Roman"/>
        </w:rPr>
        <w:t xml:space="preserve"> </w:t>
      </w:r>
      <w:r w:rsidRPr="00194F11">
        <w:rPr>
          <w:rFonts w:ascii="Times New Roman" w:hAnsi="Times New Roman" w:cs="Times New Roman"/>
          <w:i/>
          <w:iCs/>
        </w:rPr>
        <w:t>See</w:t>
      </w:r>
      <w:r>
        <w:rPr>
          <w:rFonts w:ascii="Times New Roman" w:hAnsi="Times New Roman" w:cs="Times New Roman"/>
        </w:rPr>
        <w:t xml:space="preserve"> </w:t>
      </w:r>
      <w:r w:rsidRPr="00194F11">
        <w:rPr>
          <w:rFonts w:ascii="Times New Roman" w:hAnsi="Times New Roman" w:cs="Times New Roman"/>
          <w:i/>
          <w:iCs/>
        </w:rPr>
        <w:t>Boden</w:t>
      </w:r>
      <w:r w:rsidRPr="00306099">
        <w:rPr>
          <w:rFonts w:ascii="Times New Roman" w:hAnsi="Times New Roman" w:cs="Times New Roman"/>
        </w:rPr>
        <w:t>, supra note 4, 9-11</w:t>
      </w:r>
      <w:r>
        <w:rPr>
          <w:rFonts w:ascii="Times New Roman" w:hAnsi="Times New Roman" w:cs="Times New Roman"/>
        </w:rPr>
        <w:t xml:space="preserve">, </w:t>
      </w:r>
      <w:r w:rsidRPr="00306099">
        <w:rPr>
          <w:rFonts w:ascii="Times New Roman" w:hAnsi="Times New Roman" w:cs="Times New Roman"/>
          <w:i/>
          <w:iCs/>
        </w:rPr>
        <w:t>citing</w:t>
      </w:r>
      <w:r w:rsidRPr="00306099">
        <w:rPr>
          <w:rFonts w:ascii="Times New Roman" w:hAnsi="Times New Roman" w:cs="Times New Roman"/>
        </w:rPr>
        <w:t xml:space="preserve"> </w:t>
      </w:r>
      <w:r w:rsidRPr="00306099">
        <w:rPr>
          <w:rFonts w:ascii="Times New Roman" w:hAnsi="Times New Roman" w:cs="Times New Roman"/>
          <w:i/>
          <w:iCs/>
        </w:rPr>
        <w:t>Burress v. Winters</w:t>
      </w:r>
      <w:r w:rsidRPr="00306099">
        <w:rPr>
          <w:rFonts w:ascii="Times New Roman" w:hAnsi="Times New Roman" w:cs="Times New Roman"/>
        </w:rPr>
        <w:t>, No. 08-cv-2622, 2010 U.S. Dist. LEXIS 50283, at 1 (D. Md. May</w:t>
      </w:r>
      <w:r w:rsidRPr="00306099">
        <w:rPr>
          <w:rFonts w:ascii="Times New Roman" w:hAnsi="Times New Roman" w:cs="Times New Roman"/>
        </w:rPr>
        <w:t xml:space="preserve"> 21, 2010)</w:t>
      </w:r>
      <w:r>
        <w:rPr>
          <w:rFonts w:ascii="Times New Roman" w:hAnsi="Times New Roman" w:cs="Times New Roman"/>
        </w:rPr>
        <w:t xml:space="preserve">; </w:t>
      </w:r>
      <w:r w:rsidRPr="00306099">
        <w:rPr>
          <w:rFonts w:ascii="Times New Roman" w:hAnsi="Times New Roman" w:cs="Times New Roman"/>
          <w:i/>
          <w:iCs/>
        </w:rPr>
        <w:t>Payne v. Wyeth Pharms., Inc</w:t>
      </w:r>
      <w:r w:rsidRPr="00306099">
        <w:rPr>
          <w:rFonts w:ascii="Times New Roman" w:hAnsi="Times New Roman" w:cs="Times New Roman"/>
        </w:rPr>
        <w:t>., No. 08-cv-119, 2008 U.S. Dist. LEXIS 106771 at 3-4 (E.D. Va. Nov. 17, 2008)</w:t>
      </w:r>
      <w:r>
        <w:rPr>
          <w:rFonts w:ascii="Times New Roman" w:hAnsi="Times New Roman" w:cs="Times New Roman"/>
        </w:rPr>
        <w:t>.</w:t>
      </w:r>
    </w:p>
  </w:footnote>
  <w:footnote w:id="13">
    <w:p w14:paraId="70DDD00A" w14:textId="77777777" w:rsidR="007608E8" w:rsidRPr="00306099" w:rsidRDefault="005D2842">
      <w:pPr>
        <w:pStyle w:val="FootnoteText"/>
        <w:rPr>
          <w:rFonts w:ascii="Times New Roman" w:hAnsi="Times New Roman" w:cs="Times New Roman"/>
        </w:rPr>
      </w:pPr>
      <w:r w:rsidRPr="00306099">
        <w:rPr>
          <w:rStyle w:val="FootnoteReference"/>
          <w:rFonts w:ascii="Times New Roman" w:hAnsi="Times New Roman" w:cs="Times New Roman"/>
        </w:rPr>
        <w:footnoteRef/>
      </w:r>
      <w:r w:rsidRPr="00306099">
        <w:rPr>
          <w:rFonts w:ascii="Times New Roman" w:hAnsi="Times New Roman" w:cs="Times New Roman"/>
        </w:rPr>
        <w:t xml:space="preserve"> </w:t>
      </w:r>
      <w:r w:rsidRPr="00306099">
        <w:rPr>
          <w:rFonts w:ascii="Times New Roman" w:hAnsi="Times New Roman" w:cs="Times New Roman"/>
          <w:i/>
          <w:iCs/>
        </w:rPr>
        <w:t>Id</w:t>
      </w:r>
      <w:r w:rsidRPr="00306099">
        <w:rPr>
          <w:rFonts w:ascii="Times New Roman" w:hAnsi="Times New Roman" w:cs="Times New Roman"/>
        </w:rPr>
        <w:t xml:space="preserve">. at </w:t>
      </w:r>
      <w:hyperlink r:id="rId4" w:history="1">
        <w:r w:rsidRPr="00306099">
          <w:rPr>
            <w:rStyle w:val="Hyperlink"/>
            <w:rFonts w:ascii="Times New Roman" w:hAnsi="Times New Roman" w:cs="Times New Roman"/>
            <w:color w:val="auto"/>
            <w:u w:val="none"/>
            <w:bdr w:val="none" w:sz="0" w:space="0" w:color="auto" w:frame="1"/>
            <w:shd w:val="clear" w:color="auto" w:fill="FFFFFF"/>
          </w:rPr>
          <w:t>11</w:t>
        </w:r>
      </w:hyperlink>
      <w:r w:rsidRPr="00306099">
        <w:rPr>
          <w:rStyle w:val="Hyperlink"/>
          <w:rFonts w:ascii="Times New Roman" w:hAnsi="Times New Roman" w:cs="Times New Roman"/>
          <w:color w:val="auto"/>
          <w:u w:val="none"/>
          <w:bdr w:val="none" w:sz="0" w:space="0" w:color="auto" w:frame="1"/>
          <w:shd w:val="clear" w:color="auto" w:fill="FFFFFF"/>
        </w:rPr>
        <w:t>.</w:t>
      </w:r>
    </w:p>
  </w:footnote>
  <w:footnote w:id="14">
    <w:p w14:paraId="0882F4DD" w14:textId="77777777" w:rsidR="007608E8" w:rsidRPr="00695B80" w:rsidRDefault="005D2842" w:rsidP="00306099">
      <w:pPr>
        <w:rPr>
          <w:rFonts w:ascii="Times New Roman" w:hAnsi="Times New Roman" w:cs="Times New Roman"/>
          <w:sz w:val="20"/>
          <w:szCs w:val="20"/>
        </w:rPr>
      </w:pPr>
      <w:r>
        <w:rPr>
          <w:rStyle w:val="FootnoteReference"/>
        </w:rPr>
        <w:footnoteRef/>
      </w:r>
      <w:r>
        <w:t xml:space="preserve"> </w:t>
      </w:r>
      <w:r w:rsidRPr="00194F11">
        <w:rPr>
          <w:rFonts w:ascii="Times New Roman" w:hAnsi="Times New Roman" w:cs="Times New Roman"/>
          <w:i/>
          <w:iCs/>
          <w:sz w:val="20"/>
          <w:szCs w:val="20"/>
        </w:rPr>
        <w:t>Boden</w:t>
      </w:r>
      <w:r w:rsidRPr="00695B80">
        <w:rPr>
          <w:rFonts w:ascii="Times New Roman" w:hAnsi="Times New Roman" w:cs="Times New Roman"/>
          <w:sz w:val="20"/>
          <w:szCs w:val="20"/>
        </w:rPr>
        <w:t xml:space="preserve">, supra note 4, at 15 </w:t>
      </w:r>
      <w:r w:rsidRPr="00194F11">
        <w:rPr>
          <w:rFonts w:ascii="Times New Roman" w:hAnsi="Times New Roman" w:cs="Times New Roman"/>
          <w:i/>
          <w:iCs/>
          <w:sz w:val="20"/>
          <w:szCs w:val="20"/>
        </w:rPr>
        <w:t>citing</w:t>
      </w:r>
      <w:r w:rsidRPr="00695B80">
        <w:rPr>
          <w:rFonts w:ascii="Times New Roman" w:hAnsi="Times New Roman" w:cs="Times New Roman"/>
          <w:sz w:val="20"/>
          <w:szCs w:val="20"/>
        </w:rPr>
        <w:t xml:space="preserve"> </w:t>
      </w:r>
      <w:r w:rsidRPr="00194F11">
        <w:rPr>
          <w:rStyle w:val="ssun"/>
          <w:rFonts w:ascii="Times New Roman" w:hAnsi="Times New Roman" w:cs="Times New Roman"/>
          <w:i/>
          <w:iCs/>
          <w:sz w:val="20"/>
          <w:szCs w:val="20"/>
          <w:bdr w:val="none" w:sz="0" w:space="0" w:color="auto" w:frame="1"/>
          <w:shd w:val="clear" w:color="auto" w:fill="FFFFFF"/>
        </w:rPr>
        <w:t>Keystone Transp. Sols., LLC v. N</w:t>
      </w:r>
      <w:r w:rsidRPr="00194F11">
        <w:rPr>
          <w:rStyle w:val="ssun"/>
          <w:rFonts w:ascii="Times New Roman" w:hAnsi="Times New Roman" w:cs="Times New Roman"/>
          <w:i/>
          <w:iCs/>
          <w:sz w:val="20"/>
          <w:szCs w:val="20"/>
          <w:bdr w:val="none" w:sz="0" w:space="0" w:color="auto" w:frame="1"/>
          <w:shd w:val="clear" w:color="auto" w:fill="FFFFFF"/>
        </w:rPr>
        <w:t>w. Hardwoods, Inc</w:t>
      </w:r>
      <w:r w:rsidRPr="00695B80">
        <w:rPr>
          <w:rStyle w:val="ssun"/>
          <w:rFonts w:ascii="Times New Roman" w:hAnsi="Times New Roman" w:cs="Times New Roman"/>
          <w:sz w:val="20"/>
          <w:szCs w:val="20"/>
          <w:bdr w:val="none" w:sz="0" w:space="0" w:color="auto" w:frame="1"/>
          <w:shd w:val="clear" w:color="auto" w:fill="FFFFFF"/>
        </w:rPr>
        <w:t>.</w:t>
      </w:r>
      <w:r w:rsidRPr="00695B80">
        <w:rPr>
          <w:rFonts w:ascii="Times New Roman" w:hAnsi="Times New Roman" w:cs="Times New Roman"/>
          <w:sz w:val="20"/>
          <w:szCs w:val="20"/>
          <w:shd w:val="clear" w:color="auto" w:fill="FFFFFF"/>
        </w:rPr>
        <w:t>, No. 5:18-cv-00039, 2019 U.S. Dist. LEXIS 67562 (W.D. Va. Apr. 22, 2019); </w:t>
      </w:r>
      <w:r w:rsidRPr="00194F11">
        <w:rPr>
          <w:rStyle w:val="ssun"/>
          <w:rFonts w:ascii="Times New Roman" w:hAnsi="Times New Roman" w:cs="Times New Roman"/>
          <w:i/>
          <w:iCs/>
          <w:sz w:val="20"/>
          <w:szCs w:val="20"/>
          <w:bdr w:val="none" w:sz="0" w:space="0" w:color="auto" w:frame="1"/>
          <w:shd w:val="clear" w:color="auto" w:fill="FFFFFF"/>
        </w:rPr>
        <w:t>Snider-Jefferson v. Amigo Mobility Intl, Inc</w:t>
      </w:r>
      <w:r w:rsidRPr="00695B80">
        <w:rPr>
          <w:rStyle w:val="ssun"/>
          <w:rFonts w:ascii="Times New Roman" w:hAnsi="Times New Roman" w:cs="Times New Roman"/>
          <w:sz w:val="20"/>
          <w:szCs w:val="20"/>
          <w:bdr w:val="none" w:sz="0" w:space="0" w:color="auto" w:frame="1"/>
          <w:shd w:val="clear" w:color="auto" w:fill="FFFFFF"/>
        </w:rPr>
        <w:t>.</w:t>
      </w:r>
      <w:r w:rsidRPr="00695B80">
        <w:rPr>
          <w:rFonts w:ascii="Times New Roman" w:hAnsi="Times New Roman" w:cs="Times New Roman"/>
          <w:sz w:val="20"/>
          <w:szCs w:val="20"/>
          <w:shd w:val="clear" w:color="auto" w:fill="FFFFFF"/>
        </w:rPr>
        <w:t xml:space="preserve">, No. 2:15-cv-406, 2016 U.S. Dist. LEXIS 109319 (E.D. Va. Aug. 17, 2016). </w:t>
      </w:r>
    </w:p>
  </w:footnote>
  <w:footnote w:id="15">
    <w:p w14:paraId="22F8850C" w14:textId="77777777" w:rsidR="007608E8" w:rsidRPr="00695B80" w:rsidRDefault="005D2842">
      <w:pPr>
        <w:pStyle w:val="FootnoteText"/>
        <w:rPr>
          <w:rFonts w:ascii="Times New Roman" w:hAnsi="Times New Roman" w:cs="Times New Roman"/>
        </w:rPr>
      </w:pPr>
      <w:r w:rsidRPr="00695B80">
        <w:rPr>
          <w:rStyle w:val="FootnoteReference"/>
          <w:rFonts w:ascii="Times New Roman" w:hAnsi="Times New Roman" w:cs="Times New Roman"/>
        </w:rPr>
        <w:footnoteRef/>
      </w:r>
      <w:r w:rsidRPr="00695B80">
        <w:rPr>
          <w:rFonts w:ascii="Times New Roman" w:hAnsi="Times New Roman" w:cs="Times New Roman"/>
        </w:rPr>
        <w:t xml:space="preserve"> </w:t>
      </w:r>
      <w:r w:rsidRPr="00194F11">
        <w:rPr>
          <w:rFonts w:ascii="Times New Roman" w:hAnsi="Times New Roman" w:cs="Times New Roman"/>
          <w:i/>
          <w:iCs/>
        </w:rPr>
        <w:t>See</w:t>
      </w:r>
      <w:r w:rsidRPr="00695B80">
        <w:rPr>
          <w:rFonts w:ascii="Times New Roman" w:hAnsi="Times New Roman" w:cs="Times New Roman"/>
        </w:rPr>
        <w:t xml:space="preserve"> </w:t>
      </w:r>
      <w:r w:rsidRPr="00194F11">
        <w:rPr>
          <w:rFonts w:ascii="Times New Roman" w:hAnsi="Times New Roman" w:cs="Times New Roman"/>
          <w:i/>
          <w:iCs/>
        </w:rPr>
        <w:t>Padula-Wilson v. Wilson</w:t>
      </w:r>
      <w:r w:rsidRPr="00695B80">
        <w:rPr>
          <w:rFonts w:ascii="Times New Roman" w:hAnsi="Times New Roman" w:cs="Times New Roman"/>
        </w:rPr>
        <w:t xml:space="preserve">, No. 1203-14-2, 2015 Va. App. LEXIS 123, at 23 (Va. Ct. App. Apr. 14, 2015) (stating that </w:t>
      </w:r>
      <w:r w:rsidRPr="00695B80">
        <w:rPr>
          <w:rFonts w:ascii="Times New Roman" w:hAnsi="Times New Roman" w:cs="Times New Roman"/>
          <w:shd w:val="clear" w:color="auto" w:fill="FFFFFF"/>
        </w:rPr>
        <w:t xml:space="preserve">“Virginia has not adopted the framework for admissibility of </w:t>
      </w:r>
      <w:r w:rsidRPr="00695B80">
        <w:rPr>
          <w:rFonts w:ascii="Times New Roman" w:hAnsi="Times New Roman" w:cs="Times New Roman"/>
          <w:shd w:val="clear" w:color="auto" w:fill="FFFFFF"/>
        </w:rPr>
        <w:t>scientific evidence provided in </w:t>
      </w:r>
      <w:r w:rsidRPr="00695B80">
        <w:rPr>
          <w:rStyle w:val="ssit"/>
          <w:rFonts w:ascii="Times New Roman" w:hAnsi="Times New Roman" w:cs="Times New Roman"/>
          <w:i/>
          <w:iCs/>
          <w:bdr w:val="none" w:sz="0" w:space="0" w:color="auto" w:frame="1"/>
          <w:shd w:val="clear" w:color="auto" w:fill="FFFFFF"/>
        </w:rPr>
        <w:t>Daubert</w:t>
      </w:r>
      <w:r>
        <w:rPr>
          <w:rStyle w:val="ssit"/>
          <w:rFonts w:ascii="Times New Roman" w:hAnsi="Times New Roman" w:cs="Times New Roman"/>
          <w:i/>
          <w:iCs/>
          <w:bdr w:val="none" w:sz="0" w:space="0" w:color="auto" w:frame="1"/>
          <w:shd w:val="clear" w:color="auto" w:fill="FFFFFF"/>
        </w:rPr>
        <w:t>.</w:t>
      </w:r>
      <w:r w:rsidRPr="00B02AAB">
        <w:rPr>
          <w:rStyle w:val="ssit"/>
          <w:rFonts w:ascii="Times New Roman" w:hAnsi="Times New Roman" w:cs="Times New Roman"/>
          <w:bdr w:val="none" w:sz="0" w:space="0" w:color="auto" w:frame="1"/>
          <w:shd w:val="clear" w:color="auto" w:fill="FFFFFF"/>
        </w:rPr>
        <w:t>”</w:t>
      </w:r>
      <w:r>
        <w:rPr>
          <w:rStyle w:val="ssit"/>
          <w:rFonts w:ascii="Times New Roman" w:hAnsi="Times New Roman" w:cs="Times New Roman"/>
          <w:bdr w:val="none" w:sz="0" w:space="0" w:color="auto" w:frame="1"/>
          <w:shd w:val="clear" w:color="auto" w:fill="FFFFFF"/>
        </w:rPr>
        <w:t>).</w:t>
      </w:r>
      <w:r w:rsidRPr="00695B80">
        <w:rPr>
          <w:rStyle w:val="ssit"/>
          <w:rFonts w:ascii="Times New Roman" w:hAnsi="Times New Roman" w:cs="Times New Roman"/>
          <w:i/>
          <w:iCs/>
          <w:bdr w:val="none" w:sz="0" w:space="0" w:color="auto" w:frame="1"/>
          <w:shd w:val="clear" w:color="auto" w:fill="FFFFFF"/>
        </w:rPr>
        <w:t xml:space="preserve"> </w:t>
      </w:r>
    </w:p>
  </w:footnote>
  <w:footnote w:id="16">
    <w:p w14:paraId="3314F121" w14:textId="77777777" w:rsidR="007608E8" w:rsidRPr="00695B80" w:rsidRDefault="005D2842">
      <w:pPr>
        <w:pStyle w:val="FootnoteText"/>
        <w:rPr>
          <w:rFonts w:ascii="Times New Roman" w:hAnsi="Times New Roman" w:cs="Times New Roman"/>
        </w:rPr>
      </w:pPr>
      <w:r w:rsidRPr="00695B80">
        <w:rPr>
          <w:rStyle w:val="FootnoteReference"/>
          <w:rFonts w:ascii="Times New Roman" w:hAnsi="Times New Roman" w:cs="Times New Roman"/>
        </w:rPr>
        <w:footnoteRef/>
      </w:r>
      <w:r w:rsidRPr="00695B80">
        <w:rPr>
          <w:rFonts w:ascii="Times New Roman" w:hAnsi="Times New Roman" w:cs="Times New Roman"/>
        </w:rPr>
        <w:t xml:space="preserve"> </w:t>
      </w:r>
      <w:r w:rsidRPr="00194F11">
        <w:rPr>
          <w:rFonts w:ascii="Times New Roman" w:hAnsi="Times New Roman" w:cs="Times New Roman"/>
          <w:i/>
          <w:iCs/>
        </w:rPr>
        <w:t>Id</w:t>
      </w:r>
      <w:r w:rsidRPr="00695B80">
        <w:rPr>
          <w:rFonts w:ascii="Times New Roman" w:hAnsi="Times New Roman" w:cs="Times New Roman"/>
        </w:rPr>
        <w:t>. at 22.</w:t>
      </w:r>
    </w:p>
  </w:footnote>
  <w:footnote w:id="17">
    <w:p w14:paraId="45735BAD" w14:textId="77777777" w:rsidR="007608E8" w:rsidRPr="00695B80" w:rsidRDefault="005D2842" w:rsidP="00B609AC">
      <w:pPr>
        <w:rPr>
          <w:rFonts w:ascii="Times New Roman" w:hAnsi="Times New Roman" w:cs="Times New Roman"/>
          <w:sz w:val="20"/>
          <w:szCs w:val="20"/>
        </w:rPr>
      </w:pPr>
      <w:r w:rsidRPr="00695B80">
        <w:rPr>
          <w:rStyle w:val="FootnoteReference"/>
          <w:rFonts w:ascii="Times New Roman" w:hAnsi="Times New Roman" w:cs="Times New Roman"/>
          <w:sz w:val="20"/>
          <w:szCs w:val="20"/>
        </w:rPr>
        <w:footnoteRef/>
      </w:r>
      <w:r w:rsidRPr="00695B80">
        <w:rPr>
          <w:rFonts w:ascii="Times New Roman" w:hAnsi="Times New Roman" w:cs="Times New Roman"/>
          <w:sz w:val="20"/>
          <w:szCs w:val="20"/>
        </w:rPr>
        <w:t xml:space="preserve"> </w:t>
      </w:r>
      <w:r w:rsidRPr="00194F11">
        <w:rPr>
          <w:rStyle w:val="ssrfcpassagedeactivated"/>
          <w:rFonts w:ascii="Times New Roman" w:hAnsi="Times New Roman" w:cs="Times New Roman"/>
          <w:i/>
          <w:iCs/>
          <w:sz w:val="20"/>
          <w:szCs w:val="20"/>
          <w:bdr w:val="none" w:sz="0" w:space="0" w:color="auto" w:frame="1"/>
        </w:rPr>
        <w:t>Id</w:t>
      </w:r>
      <w:r w:rsidRPr="00695B80">
        <w:rPr>
          <w:rStyle w:val="ssrfcpassagedeactivated"/>
          <w:rFonts w:ascii="Times New Roman" w:hAnsi="Times New Roman" w:cs="Times New Roman"/>
          <w:sz w:val="20"/>
          <w:szCs w:val="20"/>
          <w:bdr w:val="none" w:sz="0" w:space="0" w:color="auto" w:frame="1"/>
        </w:rPr>
        <w:t xml:space="preserve">. </w:t>
      </w:r>
      <w:r w:rsidRPr="00695B80">
        <w:rPr>
          <w:rStyle w:val="ssrfcpassagedeactivated"/>
          <w:rFonts w:ascii="Times New Roman" w:hAnsi="Times New Roman" w:cs="Times New Roman"/>
          <w:i/>
          <w:iCs/>
          <w:sz w:val="20"/>
          <w:szCs w:val="20"/>
          <w:bdr w:val="none" w:sz="0" w:space="0" w:color="auto" w:frame="1"/>
        </w:rPr>
        <w:t>citing</w:t>
      </w:r>
      <w:r w:rsidRPr="00695B80">
        <w:rPr>
          <w:rStyle w:val="ssrfcpassagedeactivated"/>
          <w:rFonts w:ascii="Times New Roman" w:hAnsi="Times New Roman" w:cs="Times New Roman"/>
          <w:sz w:val="20"/>
          <w:szCs w:val="20"/>
          <w:bdr w:val="none" w:sz="0" w:space="0" w:color="auto" w:frame="1"/>
        </w:rPr>
        <w:t xml:space="preserve"> </w:t>
      </w:r>
      <w:r w:rsidRPr="00695B80">
        <w:rPr>
          <w:rStyle w:val="ssit"/>
          <w:rFonts w:ascii="Times New Roman" w:hAnsi="Times New Roman" w:cs="Times New Roman"/>
          <w:i/>
          <w:iCs/>
          <w:sz w:val="20"/>
          <w:szCs w:val="20"/>
          <w:bdr w:val="none" w:sz="0" w:space="0" w:color="auto" w:frame="1"/>
          <w:shd w:val="clear" w:color="auto" w:fill="FFFFFF"/>
        </w:rPr>
        <w:t>Billips v. Commonwealth</w:t>
      </w:r>
      <w:r w:rsidRPr="00695B80">
        <w:rPr>
          <w:rStyle w:val="ssrfcpassagedeactivated"/>
          <w:rFonts w:ascii="Times New Roman" w:hAnsi="Times New Roman" w:cs="Times New Roman"/>
          <w:sz w:val="20"/>
          <w:szCs w:val="20"/>
          <w:bdr w:val="none" w:sz="0" w:space="0" w:color="auto" w:frame="1"/>
          <w:shd w:val="clear" w:color="auto" w:fill="FFFFFF"/>
        </w:rPr>
        <w:t>, 274 Va. 805, 808-09 (2007).</w:t>
      </w:r>
    </w:p>
  </w:footnote>
  <w:footnote w:id="18">
    <w:p w14:paraId="7590C9C5" w14:textId="77777777" w:rsidR="007608E8" w:rsidRPr="00695B80" w:rsidRDefault="005D2842">
      <w:pPr>
        <w:pStyle w:val="FootnoteText"/>
        <w:rPr>
          <w:rFonts w:ascii="Times New Roman" w:hAnsi="Times New Roman" w:cs="Times New Roman"/>
        </w:rPr>
      </w:pPr>
      <w:r w:rsidRPr="00695B80">
        <w:rPr>
          <w:rStyle w:val="FootnoteReference"/>
          <w:rFonts w:ascii="Times New Roman" w:hAnsi="Times New Roman" w:cs="Times New Roman"/>
        </w:rPr>
        <w:footnoteRef/>
      </w:r>
      <w:r w:rsidRPr="00695B80">
        <w:rPr>
          <w:rFonts w:ascii="Times New Roman" w:hAnsi="Times New Roman" w:cs="Times New Roman"/>
        </w:rPr>
        <w:t xml:space="preserve"> </w:t>
      </w:r>
      <w:r w:rsidRPr="00194F11">
        <w:rPr>
          <w:rFonts w:ascii="Times New Roman" w:hAnsi="Times New Roman" w:cs="Times New Roman"/>
          <w:i/>
          <w:iCs/>
        </w:rPr>
        <w:t>Wilson</w:t>
      </w:r>
      <w:r w:rsidRPr="00695B80">
        <w:rPr>
          <w:rFonts w:ascii="Times New Roman" w:hAnsi="Times New Roman" w:cs="Times New Roman"/>
        </w:rPr>
        <w:t xml:space="preserve">, supra note 16, at </w:t>
      </w:r>
      <w:hyperlink r:id="rId5" w:history="1">
        <w:r w:rsidRPr="00695B80">
          <w:rPr>
            <w:rStyle w:val="Hyperlink"/>
            <w:rFonts w:ascii="Times New Roman" w:hAnsi="Times New Roman" w:cs="Times New Roman"/>
            <w:color w:val="auto"/>
            <w:u w:val="none"/>
            <w:bdr w:val="none" w:sz="0" w:space="0" w:color="auto" w:frame="1"/>
            <w:shd w:val="clear" w:color="auto" w:fill="FFFFFF"/>
          </w:rPr>
          <w:t>22</w:t>
        </w:r>
      </w:hyperlink>
      <w:r w:rsidRPr="00695B80">
        <w:rPr>
          <w:rStyle w:val="ssrfcpassagedeactivated"/>
          <w:rFonts w:ascii="Times New Roman" w:hAnsi="Times New Roman" w:cs="Times New Roman"/>
          <w:bdr w:val="none" w:sz="0" w:space="0" w:color="auto" w:frame="1"/>
          <w:shd w:val="clear" w:color="auto" w:fill="FFFFFF"/>
        </w:rPr>
        <w:t xml:space="preserve">, </w:t>
      </w:r>
      <w:r w:rsidRPr="00695B80">
        <w:rPr>
          <w:rStyle w:val="ssrfcpassagedeactivated"/>
          <w:rFonts w:ascii="Times New Roman" w:hAnsi="Times New Roman" w:cs="Times New Roman"/>
          <w:i/>
          <w:iCs/>
          <w:bdr w:val="none" w:sz="0" w:space="0" w:color="auto" w:frame="1"/>
          <w:shd w:val="clear" w:color="auto" w:fill="FFFFFF"/>
        </w:rPr>
        <w:t>citing</w:t>
      </w:r>
      <w:r w:rsidRPr="00695B80">
        <w:rPr>
          <w:rStyle w:val="ssrfcpassagedeactivated"/>
          <w:rFonts w:ascii="Times New Roman" w:hAnsi="Times New Roman" w:cs="Times New Roman"/>
          <w:bdr w:val="none" w:sz="0" w:space="0" w:color="auto" w:frame="1"/>
          <w:shd w:val="clear" w:color="auto" w:fill="FFFFFF"/>
        </w:rPr>
        <w:t xml:space="preserve"> </w:t>
      </w:r>
      <w:hyperlink r:id="rId6" w:history="1">
        <w:r w:rsidRPr="00194F11">
          <w:rPr>
            <w:rStyle w:val="ssit"/>
            <w:rFonts w:ascii="Times New Roman" w:hAnsi="Times New Roman" w:cs="Times New Roman"/>
            <w:i/>
            <w:iCs/>
            <w:bdr w:val="none" w:sz="0" w:space="0" w:color="auto" w:frame="1"/>
            <w:shd w:val="clear" w:color="auto" w:fill="FFFFFF"/>
          </w:rPr>
          <w:t>Shooltz v. Shooltz</w:t>
        </w:r>
        <w:r w:rsidRPr="00695B80">
          <w:rPr>
            <w:rStyle w:val="Hyperlink"/>
            <w:rFonts w:ascii="Times New Roman" w:hAnsi="Times New Roman" w:cs="Times New Roman"/>
            <w:color w:val="auto"/>
            <w:u w:val="none"/>
            <w:bdr w:val="none" w:sz="0" w:space="0" w:color="auto" w:frame="1"/>
            <w:shd w:val="clear" w:color="auto" w:fill="FFFFFF"/>
          </w:rPr>
          <w:t>, 27 Va. App. 264 (1998)</w:t>
        </w:r>
      </w:hyperlink>
      <w:r w:rsidRPr="00695B80">
        <w:rPr>
          <w:rStyle w:val="Hyperlink"/>
          <w:rFonts w:ascii="Times New Roman" w:hAnsi="Times New Roman" w:cs="Times New Roman"/>
          <w:color w:val="auto"/>
          <w:u w:val="none"/>
          <w:bdr w:val="none" w:sz="0" w:space="0" w:color="auto" w:frame="1"/>
          <w:shd w:val="clear" w:color="auto" w:fill="FFFFFF"/>
        </w:rPr>
        <w:t>.</w:t>
      </w:r>
    </w:p>
  </w:footnote>
  <w:footnote w:id="19">
    <w:p w14:paraId="4E99872C" w14:textId="77777777" w:rsidR="007608E8" w:rsidRPr="00695B80" w:rsidRDefault="005D2842">
      <w:pPr>
        <w:pStyle w:val="FootnoteText"/>
        <w:rPr>
          <w:rFonts w:ascii="Times New Roman" w:hAnsi="Times New Roman" w:cs="Times New Roman"/>
        </w:rPr>
      </w:pPr>
      <w:r w:rsidRPr="00695B80">
        <w:rPr>
          <w:rStyle w:val="FootnoteReference"/>
          <w:rFonts w:ascii="Times New Roman" w:hAnsi="Times New Roman" w:cs="Times New Roman"/>
        </w:rPr>
        <w:footnoteRef/>
      </w:r>
      <w:r w:rsidRPr="00695B80">
        <w:rPr>
          <w:rFonts w:ascii="Times New Roman" w:hAnsi="Times New Roman" w:cs="Times New Roman"/>
        </w:rPr>
        <w:t xml:space="preserve"> </w:t>
      </w:r>
      <w:r w:rsidRPr="00194F11">
        <w:rPr>
          <w:rFonts w:ascii="Times New Roman" w:hAnsi="Times New Roman" w:cs="Times New Roman"/>
          <w:i/>
          <w:iCs/>
        </w:rPr>
        <w:t xml:space="preserve">Combs v. Norfolk &amp; Western </w:t>
      </w:r>
      <w:r w:rsidRPr="00194F11">
        <w:rPr>
          <w:rFonts w:ascii="Times New Roman" w:hAnsi="Times New Roman" w:cs="Times New Roman"/>
          <w:i/>
          <w:iCs/>
        </w:rPr>
        <w:t>Ry. Co</w:t>
      </w:r>
      <w:r w:rsidRPr="00695B80">
        <w:rPr>
          <w:rFonts w:ascii="Times New Roman" w:hAnsi="Times New Roman" w:cs="Times New Roman"/>
        </w:rPr>
        <w:t>., 256 Va. 490 (1998).</w:t>
      </w:r>
    </w:p>
  </w:footnote>
  <w:footnote w:id="20">
    <w:p w14:paraId="72E37F85" w14:textId="77777777" w:rsidR="007608E8" w:rsidRDefault="005D2842">
      <w:pPr>
        <w:pStyle w:val="FootnoteText"/>
      </w:pPr>
      <w:r w:rsidRPr="00695B80">
        <w:rPr>
          <w:rStyle w:val="FootnoteReference"/>
          <w:rFonts w:ascii="Times New Roman" w:hAnsi="Times New Roman" w:cs="Times New Roman"/>
        </w:rPr>
        <w:footnoteRef/>
      </w:r>
      <w:r w:rsidRPr="00695B80">
        <w:rPr>
          <w:rFonts w:ascii="Times New Roman" w:hAnsi="Times New Roman" w:cs="Times New Roman"/>
        </w:rPr>
        <w:t xml:space="preserve"> </w:t>
      </w:r>
      <w:r w:rsidRPr="00935DE8">
        <w:rPr>
          <w:rFonts w:ascii="Times New Roman" w:hAnsi="Times New Roman" w:cs="Times New Roman"/>
          <w:i/>
          <w:iCs/>
        </w:rPr>
        <w:t>Id</w:t>
      </w:r>
      <w:r w:rsidRPr="00695B80">
        <w:rPr>
          <w:rFonts w:ascii="Times New Roman" w:hAnsi="Times New Roman" w:cs="Times New Roman"/>
        </w:rPr>
        <w:t>. at 497.</w:t>
      </w:r>
      <w:r>
        <w:t xml:space="preserve"> </w:t>
      </w:r>
    </w:p>
  </w:footnote>
  <w:footnote w:id="21">
    <w:p w14:paraId="1C9FF7AC" w14:textId="77777777" w:rsidR="007608E8" w:rsidRPr="00695B80" w:rsidRDefault="005D2842">
      <w:pPr>
        <w:pStyle w:val="FootnoteText"/>
        <w:rPr>
          <w:rFonts w:ascii="Times New Roman" w:hAnsi="Times New Roman" w:cs="Times New Roman"/>
        </w:rPr>
      </w:pPr>
      <w:r>
        <w:rPr>
          <w:rStyle w:val="FootnoteReference"/>
        </w:rPr>
        <w:footnoteRef/>
      </w:r>
      <w:r>
        <w:t xml:space="preserve"> </w:t>
      </w:r>
      <w:r w:rsidRPr="00695B80">
        <w:rPr>
          <w:rFonts w:ascii="Times New Roman" w:hAnsi="Times New Roman" w:cs="Times New Roman"/>
        </w:rPr>
        <w:t>2</w:t>
      </w:r>
      <w:r w:rsidRPr="00695B80">
        <w:rPr>
          <w:rFonts w:ascii="Times New Roman" w:hAnsi="Times New Roman" w:cs="Times New Roman"/>
          <w:shd w:val="clear" w:color="auto" w:fill="FFFFFF"/>
        </w:rPr>
        <w:t xml:space="preserve">63 Va. 315, 319 (2002). </w:t>
      </w:r>
    </w:p>
  </w:footnote>
  <w:footnote w:id="22">
    <w:p w14:paraId="3FED39C1" w14:textId="77777777" w:rsidR="007608E8" w:rsidRPr="00695B80" w:rsidRDefault="005D2842" w:rsidP="00BB41A2">
      <w:pPr>
        <w:rPr>
          <w:rFonts w:ascii="Times New Roman" w:hAnsi="Times New Roman" w:cs="Times New Roman"/>
          <w:sz w:val="20"/>
          <w:szCs w:val="20"/>
        </w:rPr>
      </w:pPr>
      <w:r w:rsidRPr="00695B80">
        <w:rPr>
          <w:rStyle w:val="FootnoteReference"/>
          <w:rFonts w:ascii="Times New Roman" w:hAnsi="Times New Roman" w:cs="Times New Roman"/>
          <w:sz w:val="20"/>
          <w:szCs w:val="20"/>
        </w:rPr>
        <w:footnoteRef/>
      </w:r>
      <w:r w:rsidRPr="00695B80">
        <w:rPr>
          <w:rFonts w:ascii="Times New Roman" w:hAnsi="Times New Roman" w:cs="Times New Roman"/>
          <w:sz w:val="20"/>
          <w:szCs w:val="20"/>
        </w:rPr>
        <w:t xml:space="preserve"> </w:t>
      </w:r>
      <w:hyperlink r:id="rId7" w:history="1">
        <w:r w:rsidRPr="00194F11">
          <w:rPr>
            <w:rStyle w:val="Hyperlink"/>
            <w:rFonts w:ascii="Times New Roman" w:hAnsi="Times New Roman" w:cs="Times New Roman"/>
            <w:i/>
            <w:iCs/>
            <w:color w:val="auto"/>
            <w:sz w:val="20"/>
            <w:szCs w:val="20"/>
            <w:u w:val="none"/>
            <w:bdr w:val="none" w:sz="0" w:space="0" w:color="auto" w:frame="1"/>
            <w:shd w:val="clear" w:color="auto" w:fill="FFFFFF"/>
          </w:rPr>
          <w:t>Conley v. Commonwealth</w:t>
        </w:r>
        <w:r w:rsidRPr="00695B80">
          <w:rPr>
            <w:rStyle w:val="Hyperlink"/>
            <w:rFonts w:ascii="Times New Roman" w:hAnsi="Times New Roman" w:cs="Times New Roman"/>
            <w:color w:val="auto"/>
            <w:sz w:val="20"/>
            <w:szCs w:val="20"/>
            <w:u w:val="none"/>
            <w:bdr w:val="none" w:sz="0" w:space="0" w:color="auto" w:frame="1"/>
            <w:shd w:val="clear" w:color="auto" w:fill="FFFFFF"/>
          </w:rPr>
          <w:t>, 273 Va. 554, 561</w:t>
        </w:r>
      </w:hyperlink>
      <w:r w:rsidRPr="00695B80">
        <w:rPr>
          <w:rStyle w:val="Hyperlink"/>
          <w:rFonts w:ascii="Times New Roman" w:hAnsi="Times New Roman" w:cs="Times New Roman"/>
          <w:color w:val="auto"/>
          <w:sz w:val="20"/>
          <w:szCs w:val="20"/>
          <w:u w:val="none"/>
          <w:bdr w:val="none" w:sz="0" w:space="0" w:color="auto" w:frame="1"/>
          <w:shd w:val="clear" w:color="auto" w:fill="FFFFFF"/>
        </w:rPr>
        <w:t xml:space="preserve"> (2007).</w:t>
      </w:r>
    </w:p>
  </w:footnote>
  <w:footnote w:id="23">
    <w:p w14:paraId="0ACD8AC4" w14:textId="77777777" w:rsidR="007608E8" w:rsidRPr="00695B80" w:rsidRDefault="005D2842">
      <w:pPr>
        <w:pStyle w:val="FootnoteText"/>
        <w:rPr>
          <w:rFonts w:ascii="Times New Roman" w:hAnsi="Times New Roman" w:cs="Times New Roman"/>
        </w:rPr>
      </w:pPr>
      <w:r w:rsidRPr="00695B80">
        <w:rPr>
          <w:rStyle w:val="FootnoteReference"/>
          <w:rFonts w:ascii="Times New Roman" w:hAnsi="Times New Roman" w:cs="Times New Roman"/>
        </w:rPr>
        <w:footnoteRef/>
      </w:r>
      <w:r w:rsidRPr="00695B80">
        <w:rPr>
          <w:rFonts w:ascii="Times New Roman" w:hAnsi="Times New Roman" w:cs="Times New Roman"/>
        </w:rPr>
        <w:t xml:space="preserve"> </w:t>
      </w:r>
      <w:r w:rsidRPr="00194F11">
        <w:rPr>
          <w:rFonts w:ascii="Times New Roman" w:hAnsi="Times New Roman" w:cs="Times New Roman"/>
          <w:i/>
          <w:iCs/>
        </w:rPr>
        <w:t>Id</w:t>
      </w:r>
      <w:r w:rsidRPr="00695B80">
        <w:rPr>
          <w:rFonts w:ascii="Times New Roman" w:hAnsi="Times New Roman" w:cs="Times New Roman"/>
        </w:rPr>
        <w:t xml:space="preserve">. at 562. </w:t>
      </w:r>
    </w:p>
  </w:footnote>
  <w:footnote w:id="24">
    <w:p w14:paraId="0A513907" w14:textId="77777777" w:rsidR="007608E8" w:rsidRPr="00695B80" w:rsidRDefault="005D2842">
      <w:pPr>
        <w:pStyle w:val="FootnoteText"/>
        <w:rPr>
          <w:rFonts w:ascii="Times New Roman" w:hAnsi="Times New Roman" w:cs="Times New Roman"/>
        </w:rPr>
      </w:pPr>
      <w:r w:rsidRPr="00695B80">
        <w:rPr>
          <w:rStyle w:val="FootnoteReference"/>
          <w:rFonts w:ascii="Times New Roman" w:hAnsi="Times New Roman" w:cs="Times New Roman"/>
        </w:rPr>
        <w:footnoteRef/>
      </w:r>
      <w:r w:rsidRPr="00695B80">
        <w:rPr>
          <w:rFonts w:ascii="Times New Roman" w:hAnsi="Times New Roman" w:cs="Times New Roman"/>
        </w:rPr>
        <w:t xml:space="preserve"> </w:t>
      </w:r>
      <w:hyperlink r:id="rId8" w:history="1">
        <w:r w:rsidRPr="00695B80">
          <w:rPr>
            <w:rStyle w:val="Hyperlink"/>
            <w:rFonts w:ascii="Times New Roman" w:hAnsi="Times New Roman" w:cs="Times New Roman"/>
            <w:color w:val="auto"/>
            <w:u w:val="none"/>
            <w:bdr w:val="none" w:sz="0" w:space="0" w:color="auto" w:frame="1"/>
            <w:shd w:val="clear" w:color="auto" w:fill="FFFFFF"/>
          </w:rPr>
          <w:t>237 Va. 558, 560</w:t>
        </w:r>
      </w:hyperlink>
      <w:r w:rsidRPr="00695B80">
        <w:rPr>
          <w:rFonts w:ascii="Times New Roman" w:hAnsi="Times New Roman" w:cs="Times New Roman"/>
        </w:rPr>
        <w:t xml:space="preserve"> (1989). </w:t>
      </w:r>
    </w:p>
  </w:footnote>
  <w:footnote w:id="25">
    <w:p w14:paraId="69058161" w14:textId="77777777" w:rsidR="007608E8" w:rsidRPr="00695B80" w:rsidRDefault="005D2842">
      <w:pPr>
        <w:pStyle w:val="FootnoteText"/>
        <w:rPr>
          <w:rFonts w:ascii="Times New Roman" w:hAnsi="Times New Roman" w:cs="Times New Roman"/>
        </w:rPr>
      </w:pPr>
      <w:r w:rsidRPr="00695B80">
        <w:rPr>
          <w:rStyle w:val="FootnoteReference"/>
          <w:rFonts w:ascii="Times New Roman" w:hAnsi="Times New Roman" w:cs="Times New Roman"/>
        </w:rPr>
        <w:footnoteRef/>
      </w:r>
      <w:r w:rsidRPr="00695B80">
        <w:rPr>
          <w:rFonts w:ascii="Times New Roman" w:hAnsi="Times New Roman" w:cs="Times New Roman"/>
        </w:rPr>
        <w:t xml:space="preserve"> </w:t>
      </w:r>
      <w:r w:rsidRPr="00194F11">
        <w:rPr>
          <w:rFonts w:ascii="Times New Roman" w:hAnsi="Times New Roman" w:cs="Times New Roman"/>
          <w:i/>
          <w:iCs/>
        </w:rPr>
        <w:t>Id</w:t>
      </w:r>
      <w:r w:rsidRPr="00695B80">
        <w:rPr>
          <w:rFonts w:ascii="Times New Roman" w:hAnsi="Times New Roman" w:cs="Times New Roman"/>
        </w:rPr>
        <w:t>. at 569.</w:t>
      </w:r>
    </w:p>
  </w:footnote>
  <w:footnote w:id="26">
    <w:p w14:paraId="13415D27" w14:textId="77777777" w:rsidR="007608E8" w:rsidRDefault="005D2842">
      <w:pPr>
        <w:pStyle w:val="FootnoteText"/>
      </w:pPr>
      <w:r w:rsidRPr="00695B80">
        <w:rPr>
          <w:rStyle w:val="FootnoteReference"/>
          <w:rFonts w:ascii="Times New Roman" w:hAnsi="Times New Roman" w:cs="Times New Roman"/>
        </w:rPr>
        <w:footnoteRef/>
      </w:r>
      <w:r w:rsidRPr="00695B80">
        <w:rPr>
          <w:rFonts w:ascii="Times New Roman" w:hAnsi="Times New Roman" w:cs="Times New Roman"/>
        </w:rPr>
        <w:t xml:space="preserve"> 259 Va. 348, 353 (2000).</w:t>
      </w:r>
      <w:r w:rsidRPr="00695B80">
        <w:t xml:space="preserve"> </w:t>
      </w:r>
    </w:p>
  </w:footnote>
  <w:footnote w:id="27">
    <w:p w14:paraId="4D9F5EC2" w14:textId="77777777" w:rsidR="007608E8" w:rsidRPr="00EC477D" w:rsidRDefault="005D2842">
      <w:pPr>
        <w:pStyle w:val="FootnoteText"/>
        <w:rPr>
          <w:rFonts w:ascii="Times New Roman" w:hAnsi="Times New Roman" w:cs="Times New Roman"/>
        </w:rPr>
      </w:pPr>
      <w:r>
        <w:rPr>
          <w:rStyle w:val="FootnoteReference"/>
        </w:rPr>
        <w:footnoteRef/>
      </w:r>
      <w:r>
        <w:t xml:space="preserve"> </w:t>
      </w:r>
      <w:r w:rsidRPr="00EC477D">
        <w:rPr>
          <w:rFonts w:ascii="Times New Roman" w:hAnsi="Times New Roman" w:cs="Times New Roman"/>
          <w:i/>
          <w:iCs/>
        </w:rPr>
        <w:t>Id</w:t>
      </w:r>
      <w:r w:rsidRPr="00EC477D">
        <w:rPr>
          <w:rFonts w:ascii="Times New Roman" w:hAnsi="Times New Roman" w:cs="Times New Roman"/>
        </w:rPr>
        <w:t>. at 351-353.</w:t>
      </w:r>
    </w:p>
  </w:footnote>
  <w:footnote w:id="28">
    <w:p w14:paraId="76031E27" w14:textId="77777777" w:rsidR="007608E8" w:rsidRPr="00EC477D" w:rsidRDefault="005D2842">
      <w:pPr>
        <w:pStyle w:val="FootnoteText"/>
        <w:rPr>
          <w:rFonts w:ascii="Times New Roman" w:hAnsi="Times New Roman" w:cs="Times New Roman"/>
        </w:rPr>
      </w:pPr>
      <w:r w:rsidRPr="00EC477D">
        <w:rPr>
          <w:rStyle w:val="FootnoteReference"/>
          <w:rFonts w:ascii="Times New Roman" w:hAnsi="Times New Roman" w:cs="Times New Roman"/>
        </w:rPr>
        <w:footnoteRef/>
      </w:r>
      <w:r w:rsidRPr="00EC477D">
        <w:rPr>
          <w:rFonts w:ascii="Times New Roman" w:hAnsi="Times New Roman" w:cs="Times New Roman"/>
        </w:rPr>
        <w:t xml:space="preserve"> </w:t>
      </w:r>
      <w:r w:rsidRPr="00EC477D">
        <w:rPr>
          <w:rStyle w:val="ssprior"/>
          <w:rFonts w:ascii="Times New Roman" w:hAnsi="Times New Roman" w:cs="Times New Roman"/>
          <w:bdr w:val="none" w:sz="0" w:space="0" w:color="auto" w:frame="1"/>
        </w:rPr>
        <w:t>289 Va. 147, 155 (2015)</w:t>
      </w:r>
      <w:r w:rsidRPr="00EC477D">
        <w:rPr>
          <w:rFonts w:ascii="Times New Roman" w:hAnsi="Times New Roman" w:cs="Times New Roman"/>
          <w:shd w:val="clear" w:color="auto" w:fill="FFFFFF"/>
        </w:rPr>
        <w:t> (</w:t>
      </w:r>
      <w:r w:rsidRPr="00B02AAB">
        <w:rPr>
          <w:rFonts w:ascii="Times New Roman" w:hAnsi="Times New Roman" w:cs="Times New Roman"/>
          <w:shd w:val="clear" w:color="auto" w:fill="FFFFFF"/>
        </w:rPr>
        <w:t>quoting</w:t>
      </w:r>
      <w:r w:rsidRPr="00EC477D">
        <w:rPr>
          <w:rFonts w:ascii="Times New Roman" w:hAnsi="Times New Roman" w:cs="Times New Roman"/>
          <w:shd w:val="clear" w:color="auto" w:fill="FFFFFF"/>
        </w:rPr>
        <w:t> </w:t>
      </w:r>
      <w:r w:rsidRPr="00EC477D">
        <w:rPr>
          <w:rStyle w:val="ssit"/>
          <w:rFonts w:ascii="Times New Roman" w:hAnsi="Times New Roman" w:cs="Times New Roman"/>
          <w:i/>
          <w:iCs/>
          <w:bdr w:val="none" w:sz="0" w:space="0" w:color="auto" w:frame="1"/>
          <w:shd w:val="clear" w:color="auto" w:fill="FFFFFF"/>
        </w:rPr>
        <w:t>CNH America LLC v. Smith</w:t>
      </w:r>
      <w:r w:rsidRPr="00EC477D">
        <w:rPr>
          <w:rFonts w:ascii="Times New Roman" w:hAnsi="Times New Roman" w:cs="Times New Roman"/>
          <w:shd w:val="clear" w:color="auto" w:fill="FFFFFF"/>
        </w:rPr>
        <w:t xml:space="preserve">, 281 Va. 60, 67 (2011)).  </w:t>
      </w:r>
    </w:p>
  </w:footnote>
  <w:footnote w:id="29">
    <w:p w14:paraId="70A8AAA9" w14:textId="77777777" w:rsidR="007608E8" w:rsidRPr="00EC477D" w:rsidRDefault="005D2842">
      <w:pPr>
        <w:pStyle w:val="FootnoteText"/>
        <w:rPr>
          <w:rFonts w:ascii="Times New Roman" w:hAnsi="Times New Roman" w:cs="Times New Roman"/>
        </w:rPr>
      </w:pPr>
      <w:r w:rsidRPr="00EC477D">
        <w:rPr>
          <w:rStyle w:val="FootnoteReference"/>
          <w:rFonts w:ascii="Times New Roman" w:hAnsi="Times New Roman" w:cs="Times New Roman"/>
        </w:rPr>
        <w:footnoteRef/>
      </w:r>
      <w:r w:rsidRPr="00EC477D">
        <w:rPr>
          <w:rFonts w:ascii="Times New Roman" w:hAnsi="Times New Roman" w:cs="Times New Roman"/>
        </w:rPr>
        <w:t xml:space="preserve"> </w:t>
      </w:r>
      <w:r w:rsidRPr="00EC477D">
        <w:rPr>
          <w:rFonts w:ascii="Times New Roman" w:hAnsi="Times New Roman" w:cs="Times New Roman"/>
          <w:i/>
          <w:iCs/>
          <w:shd w:val="clear" w:color="auto" w:fill="FFFFFF"/>
        </w:rPr>
        <w:t>Id</w:t>
      </w:r>
      <w:r w:rsidRPr="00EC477D">
        <w:rPr>
          <w:rFonts w:ascii="Times New Roman" w:hAnsi="Times New Roman" w:cs="Times New Roman"/>
          <w:shd w:val="clear" w:color="auto" w:fill="FFFFFF"/>
        </w:rPr>
        <w:t xml:space="preserve">., </w:t>
      </w:r>
      <w:r w:rsidRPr="00EC477D">
        <w:rPr>
          <w:rFonts w:ascii="Times New Roman" w:hAnsi="Times New Roman" w:cs="Times New Roman"/>
          <w:i/>
          <w:iCs/>
          <w:shd w:val="clear" w:color="auto" w:fill="FFFFFF"/>
        </w:rPr>
        <w:t>citing</w:t>
      </w:r>
      <w:r w:rsidRPr="00EC477D">
        <w:rPr>
          <w:rFonts w:ascii="Times New Roman" w:hAnsi="Times New Roman" w:cs="Times New Roman"/>
          <w:shd w:val="clear" w:color="auto" w:fill="FFFFFF"/>
        </w:rPr>
        <w:t xml:space="preserve"> </w:t>
      </w:r>
      <w:r w:rsidRPr="00194F11">
        <w:rPr>
          <w:rStyle w:val="ssun"/>
          <w:rFonts w:ascii="Times New Roman" w:hAnsi="Times New Roman" w:cs="Times New Roman"/>
          <w:i/>
          <w:iCs/>
          <w:bdr w:val="none" w:sz="0" w:space="0" w:color="auto" w:frame="1"/>
          <w:shd w:val="clear" w:color="auto" w:fill="FFFFFF"/>
        </w:rPr>
        <w:t>Vasquez v. Mabini</w:t>
      </w:r>
      <w:r w:rsidRPr="00EC477D">
        <w:rPr>
          <w:rFonts w:ascii="Times New Roman" w:hAnsi="Times New Roman" w:cs="Times New Roman"/>
          <w:shd w:val="clear" w:color="auto" w:fill="FFFFFF"/>
        </w:rPr>
        <w:t>, 269 Va. 155, 159, (2005).</w:t>
      </w:r>
    </w:p>
  </w:footnote>
  <w:footnote w:id="30">
    <w:p w14:paraId="11A81633" w14:textId="77777777" w:rsidR="007608E8" w:rsidRPr="00EC477D" w:rsidRDefault="005D2842">
      <w:pPr>
        <w:pStyle w:val="FootnoteText"/>
        <w:rPr>
          <w:rFonts w:ascii="Times New Roman" w:hAnsi="Times New Roman" w:cs="Times New Roman"/>
        </w:rPr>
      </w:pPr>
      <w:r w:rsidRPr="00EC477D">
        <w:rPr>
          <w:rStyle w:val="FootnoteReference"/>
          <w:rFonts w:ascii="Times New Roman" w:hAnsi="Times New Roman" w:cs="Times New Roman"/>
        </w:rPr>
        <w:footnoteRef/>
      </w:r>
      <w:r w:rsidRPr="00EC477D">
        <w:rPr>
          <w:rFonts w:ascii="Times New Roman" w:hAnsi="Times New Roman" w:cs="Times New Roman"/>
        </w:rPr>
        <w:t xml:space="preserve"> </w:t>
      </w:r>
      <w:r w:rsidRPr="00EC477D">
        <w:rPr>
          <w:rFonts w:ascii="Times New Roman" w:hAnsi="Times New Roman" w:cs="Times New Roman"/>
          <w:i/>
          <w:iCs/>
          <w:shd w:val="clear" w:color="auto" w:fill="FFFFFF"/>
        </w:rPr>
        <w:t>Id</w:t>
      </w:r>
      <w:r w:rsidRPr="00EC477D">
        <w:rPr>
          <w:rFonts w:ascii="Times New Roman" w:hAnsi="Times New Roman" w:cs="Times New Roman"/>
          <w:shd w:val="clear" w:color="auto" w:fill="FFFFFF"/>
        </w:rPr>
        <w:t>.</w:t>
      </w:r>
    </w:p>
  </w:footnote>
  <w:footnote w:id="31">
    <w:p w14:paraId="78685F4B" w14:textId="77777777" w:rsidR="007608E8" w:rsidRDefault="005D2842">
      <w:pPr>
        <w:pStyle w:val="FootnoteText"/>
      </w:pPr>
      <w:r>
        <w:rPr>
          <w:rStyle w:val="FootnoteReference"/>
        </w:rPr>
        <w:footnoteRef/>
      </w:r>
      <w:r>
        <w:t xml:space="preserve"> </w:t>
      </w:r>
      <w:hyperlink r:id="rId9" w:history="1">
        <w:r w:rsidRPr="00695B80">
          <w:rPr>
            <w:rStyle w:val="Hyperlink"/>
            <w:rFonts w:ascii="Times New Roman" w:hAnsi="Times New Roman" w:cs="Times New Roman"/>
            <w:color w:val="auto"/>
            <w:u w:val="none"/>
            <w:bdr w:val="none" w:sz="0" w:space="0" w:color="auto" w:frame="1"/>
            <w:shd w:val="clear" w:color="auto" w:fill="FFFFFF"/>
          </w:rPr>
          <w:t>237 Va. 558, 560</w:t>
        </w:r>
      </w:hyperlink>
      <w:r w:rsidRPr="00695B80">
        <w:rPr>
          <w:rFonts w:ascii="Times New Roman" w:hAnsi="Times New Roman" w:cs="Times New Roman"/>
        </w:rPr>
        <w:t xml:space="preserve"> (1989)</w:t>
      </w:r>
      <w:r>
        <w:rPr>
          <w:rFonts w:ascii="Times New Roman" w:hAnsi="Times New Roman" w:cs="Times New Roman"/>
        </w:rPr>
        <w:t>.</w:t>
      </w:r>
    </w:p>
  </w:footnote>
  <w:footnote w:id="32">
    <w:p w14:paraId="571CA5FF" w14:textId="77777777" w:rsidR="007608E8" w:rsidRPr="00EC477D" w:rsidRDefault="005D2842">
      <w:pPr>
        <w:pStyle w:val="FootnoteText"/>
        <w:rPr>
          <w:rFonts w:ascii="Times New Roman" w:hAnsi="Times New Roman" w:cs="Times New Roman"/>
        </w:rPr>
      </w:pPr>
      <w:r w:rsidRPr="00EC477D">
        <w:rPr>
          <w:rStyle w:val="FootnoteReference"/>
          <w:rFonts w:ascii="Times New Roman" w:hAnsi="Times New Roman" w:cs="Times New Roman"/>
        </w:rPr>
        <w:footnoteRef/>
      </w:r>
      <w:r w:rsidRPr="00EC477D">
        <w:rPr>
          <w:rFonts w:ascii="Times New Roman" w:hAnsi="Times New Roman" w:cs="Times New Roman"/>
        </w:rPr>
        <w:t xml:space="preserve"> 68 Va. App. 547, N</w:t>
      </w:r>
      <w:r w:rsidRPr="00EC477D">
        <w:rPr>
          <w:rFonts w:ascii="Times New Roman" w:hAnsi="Times New Roman" w:cs="Times New Roman"/>
          <w:shd w:val="clear" w:color="auto" w:fill="FFFFFF"/>
        </w:rPr>
        <w:t xml:space="preserve">o. 1499-17-4 2018 Va. App. </w:t>
      </w:r>
      <w:r w:rsidRPr="00EC477D">
        <w:rPr>
          <w:rFonts w:ascii="Times New Roman" w:hAnsi="Times New Roman" w:cs="Times New Roman"/>
        </w:rPr>
        <w:t>LEXIS 87, at 565 (Va</w:t>
      </w:r>
      <w:r w:rsidRPr="00EC477D">
        <w:rPr>
          <w:rFonts w:ascii="Times New Roman" w:hAnsi="Times New Roman" w:cs="Times New Roman"/>
        </w:rPr>
        <w:t>. Ct. App. Apr. 3, 2018)</w:t>
      </w:r>
      <w:r w:rsidRPr="00EC477D">
        <w:rPr>
          <w:rStyle w:val="Hyperlink"/>
          <w:rFonts w:ascii="Times New Roman" w:hAnsi="Times New Roman" w:cs="Times New Roman"/>
          <w:color w:val="auto"/>
          <w:u w:val="none"/>
          <w:bdr w:val="none" w:sz="0" w:space="0" w:color="auto" w:frame="1"/>
          <w:shd w:val="clear" w:color="auto" w:fill="FFFFFF"/>
        </w:rPr>
        <w:t xml:space="preserve">. </w:t>
      </w:r>
    </w:p>
  </w:footnote>
  <w:footnote w:id="33">
    <w:p w14:paraId="01191B41" w14:textId="77777777" w:rsidR="007608E8" w:rsidRPr="00EC477D" w:rsidRDefault="005D2842">
      <w:pPr>
        <w:pStyle w:val="FootnoteText"/>
        <w:rPr>
          <w:rFonts w:ascii="Times New Roman" w:hAnsi="Times New Roman" w:cs="Times New Roman"/>
        </w:rPr>
      </w:pPr>
      <w:r w:rsidRPr="00EC477D">
        <w:rPr>
          <w:rStyle w:val="FootnoteReference"/>
          <w:rFonts w:ascii="Times New Roman" w:hAnsi="Times New Roman" w:cs="Times New Roman"/>
        </w:rPr>
        <w:footnoteRef/>
      </w:r>
      <w:r w:rsidRPr="00EC477D">
        <w:rPr>
          <w:rFonts w:ascii="Times New Roman" w:hAnsi="Times New Roman" w:cs="Times New Roman"/>
        </w:rPr>
        <w:t xml:space="preserve"> </w:t>
      </w:r>
      <w:r w:rsidRPr="00194F11">
        <w:rPr>
          <w:rFonts w:ascii="Times New Roman" w:hAnsi="Times New Roman" w:cs="Times New Roman"/>
          <w:i/>
          <w:iCs/>
        </w:rPr>
        <w:t>Id</w:t>
      </w:r>
      <w:r w:rsidRPr="00EC477D">
        <w:rPr>
          <w:rFonts w:ascii="Times New Roman" w:hAnsi="Times New Roman" w:cs="Times New Roman"/>
        </w:rPr>
        <w:t>.</w:t>
      </w:r>
    </w:p>
  </w:footnote>
  <w:footnote w:id="34">
    <w:p w14:paraId="3B374A81" w14:textId="77777777" w:rsidR="007608E8" w:rsidRPr="00EC477D" w:rsidRDefault="005D2842">
      <w:pPr>
        <w:pStyle w:val="FootnoteText"/>
        <w:rPr>
          <w:rFonts w:ascii="Times New Roman" w:hAnsi="Times New Roman" w:cs="Times New Roman"/>
        </w:rPr>
      </w:pPr>
      <w:r w:rsidRPr="00EC477D">
        <w:rPr>
          <w:rStyle w:val="FootnoteReference"/>
          <w:rFonts w:ascii="Times New Roman" w:hAnsi="Times New Roman" w:cs="Times New Roman"/>
        </w:rPr>
        <w:footnoteRef/>
      </w:r>
      <w:r w:rsidRPr="00EC477D">
        <w:rPr>
          <w:rFonts w:ascii="Times New Roman" w:hAnsi="Times New Roman" w:cs="Times New Roman"/>
        </w:rPr>
        <w:t xml:space="preserve"> </w:t>
      </w:r>
      <w:hyperlink r:id="rId10" w:history="1">
        <w:r w:rsidRPr="00194F11">
          <w:rPr>
            <w:rStyle w:val="Hyperlink"/>
            <w:rFonts w:ascii="Times New Roman" w:hAnsi="Times New Roman" w:cs="Times New Roman"/>
            <w:i/>
            <w:iCs/>
            <w:color w:val="auto"/>
            <w:u w:val="none"/>
            <w:bdr w:val="none" w:sz="0" w:space="0" w:color="auto" w:frame="1"/>
            <w:shd w:val="clear" w:color="auto" w:fill="FFFFFF"/>
          </w:rPr>
          <w:t>Id</w:t>
        </w:r>
        <w:r w:rsidRPr="00EC477D">
          <w:rPr>
            <w:rStyle w:val="Hyperlink"/>
            <w:rFonts w:ascii="Times New Roman" w:hAnsi="Times New Roman" w:cs="Times New Roman"/>
            <w:color w:val="auto"/>
            <w:u w:val="none"/>
            <w:bdr w:val="none" w:sz="0" w:space="0" w:color="auto" w:frame="1"/>
            <w:shd w:val="clear" w:color="auto" w:fill="FFFFFF"/>
          </w:rPr>
          <w:t>.</w:t>
        </w:r>
      </w:hyperlink>
      <w:r w:rsidRPr="00EC477D">
        <w:rPr>
          <w:rStyle w:val="Hyperlink"/>
          <w:rFonts w:ascii="Times New Roman" w:hAnsi="Times New Roman" w:cs="Times New Roman"/>
          <w:color w:val="auto"/>
          <w:u w:val="none"/>
          <w:bdr w:val="none" w:sz="0" w:space="0" w:color="auto" w:frame="1"/>
          <w:shd w:val="clear" w:color="auto" w:fill="FFFFFF"/>
        </w:rPr>
        <w:t xml:space="preserve"> </w:t>
      </w:r>
      <w:r w:rsidRPr="00EC477D">
        <w:rPr>
          <w:rFonts w:ascii="Times New Roman" w:hAnsi="Times New Roman" w:cs="Times New Roman"/>
          <w:i/>
          <w:iCs/>
        </w:rPr>
        <w:t>citing</w:t>
      </w:r>
      <w:r w:rsidRPr="00EC477D">
        <w:rPr>
          <w:rFonts w:ascii="Times New Roman" w:hAnsi="Times New Roman" w:cs="Times New Roman"/>
        </w:rPr>
        <w:t xml:space="preserve"> </w:t>
      </w:r>
      <w:r w:rsidRPr="00EC477D">
        <w:rPr>
          <w:rStyle w:val="ssit"/>
          <w:rFonts w:ascii="Times New Roman" w:hAnsi="Times New Roman" w:cs="Times New Roman"/>
          <w:i/>
          <w:iCs/>
          <w:bdr w:val="none" w:sz="0" w:space="0" w:color="auto" w:frame="1"/>
          <w:shd w:val="clear" w:color="auto" w:fill="FFFFFF"/>
        </w:rPr>
        <w:t>Commonwealth v. Wynn</w:t>
      </w:r>
      <w:r w:rsidRPr="00EC477D">
        <w:rPr>
          <w:rStyle w:val="ssrfcpassagedeactivated"/>
          <w:rFonts w:ascii="Times New Roman" w:hAnsi="Times New Roman" w:cs="Times New Roman"/>
          <w:bdr w:val="none" w:sz="0" w:space="0" w:color="auto" w:frame="1"/>
          <w:shd w:val="clear" w:color="auto" w:fill="FFFFFF"/>
        </w:rPr>
        <w:t xml:space="preserve">, 277 Va. 92, 98, 671 S.E.2d 137, 140 (2009). </w:t>
      </w:r>
    </w:p>
  </w:footnote>
  <w:footnote w:id="35">
    <w:p w14:paraId="5332120D" w14:textId="77777777" w:rsidR="0001390E" w:rsidRPr="0046545B" w:rsidRDefault="005D2842">
      <w:pPr>
        <w:pStyle w:val="FootnoteText"/>
        <w:rPr>
          <w:rFonts w:ascii="Times New Roman" w:hAnsi="Times New Roman" w:cs="Times New Roman"/>
        </w:rPr>
      </w:pPr>
      <w:r>
        <w:rPr>
          <w:rStyle w:val="FootnoteReference"/>
        </w:rPr>
        <w:footnoteRef/>
      </w:r>
      <w:r>
        <w:t xml:space="preserve"> </w:t>
      </w:r>
      <w:r w:rsidRPr="0046545B">
        <w:rPr>
          <w:rStyle w:val="ssrfcpassagedeactivated"/>
          <w:rFonts w:ascii="Times New Roman" w:hAnsi="Times New Roman" w:cs="Times New Roman"/>
          <w:i/>
          <w:iCs/>
          <w:bdr w:val="none" w:sz="0" w:space="0" w:color="auto" w:frame="1"/>
          <w:shd w:val="clear" w:color="auto" w:fill="FFFFFF"/>
        </w:rPr>
        <w:t>County</w:t>
      </w:r>
      <w:r w:rsidRPr="0046545B">
        <w:rPr>
          <w:rStyle w:val="ssrfcpassagedeactivated"/>
          <w:rFonts w:ascii="Times New Roman" w:hAnsi="Times New Roman" w:cs="Times New Roman"/>
          <w:i/>
          <w:iCs/>
          <w:bdr w:val="none" w:sz="0" w:space="0" w:color="auto" w:frame="1"/>
          <w:shd w:val="clear" w:color="auto" w:fill="FFFFFF"/>
        </w:rPr>
        <w:t xml:space="preserve"> </w:t>
      </w:r>
      <w:r w:rsidRPr="0046545B">
        <w:rPr>
          <w:rFonts w:ascii="Times New Roman" w:hAnsi="Times New Roman" w:cs="Times New Roman"/>
          <w:i/>
          <w:iCs/>
        </w:rPr>
        <w:t>Countryside Corp. v. Taylor</w:t>
      </w:r>
      <w:r w:rsidRPr="0046545B">
        <w:rPr>
          <w:rFonts w:ascii="Times New Roman" w:hAnsi="Times New Roman" w:cs="Times New Roman"/>
        </w:rPr>
        <w:t>, 263 Va. 549, 553 (2002).</w:t>
      </w:r>
    </w:p>
  </w:footnote>
  <w:footnote w:id="36">
    <w:p w14:paraId="42EB6433" w14:textId="77777777" w:rsidR="0001390E" w:rsidRPr="0046545B" w:rsidRDefault="005D2842">
      <w:pPr>
        <w:pStyle w:val="FootnoteText"/>
        <w:rPr>
          <w:rFonts w:ascii="Times New Roman" w:hAnsi="Times New Roman" w:cs="Times New Roman"/>
        </w:rPr>
      </w:pPr>
      <w:r w:rsidRPr="0046545B">
        <w:rPr>
          <w:rStyle w:val="FootnoteReference"/>
          <w:rFonts w:ascii="Times New Roman" w:hAnsi="Times New Roman" w:cs="Times New Roman"/>
        </w:rPr>
        <w:footnoteRef/>
      </w:r>
      <w:r w:rsidRPr="0046545B">
        <w:rPr>
          <w:rFonts w:ascii="Times New Roman" w:hAnsi="Times New Roman" w:cs="Times New Roman"/>
        </w:rPr>
        <w:t xml:space="preserve"> </w:t>
      </w:r>
      <w:r w:rsidRPr="0046545B">
        <w:rPr>
          <w:rFonts w:ascii="Times New Roman" w:hAnsi="Times New Roman" w:cs="Times New Roman"/>
          <w:i/>
          <w:iCs/>
        </w:rPr>
        <w:t>Vasquez v. Mabini</w:t>
      </w:r>
      <w:r w:rsidRPr="0046545B">
        <w:rPr>
          <w:rFonts w:ascii="Times New Roman" w:hAnsi="Times New Roman" w:cs="Times New Roman"/>
        </w:rPr>
        <w:t>, 269 Va. 155, 159 (2005).</w:t>
      </w:r>
    </w:p>
  </w:footnote>
  <w:footnote w:id="37">
    <w:p w14:paraId="5B6FCC72" w14:textId="77777777" w:rsidR="00CF5DD6" w:rsidRDefault="005D2842">
      <w:pPr>
        <w:pStyle w:val="FootnoteText"/>
      </w:pPr>
      <w:r w:rsidRPr="0046545B">
        <w:rPr>
          <w:rStyle w:val="FootnoteReference"/>
          <w:rFonts w:ascii="Times New Roman" w:hAnsi="Times New Roman" w:cs="Times New Roman"/>
        </w:rPr>
        <w:footnoteRef/>
      </w:r>
      <w:r w:rsidRPr="0046545B">
        <w:rPr>
          <w:rFonts w:ascii="Times New Roman" w:hAnsi="Times New Roman" w:cs="Times New Roman"/>
        </w:rPr>
        <w:t xml:space="preserve"> </w:t>
      </w:r>
      <w:r w:rsidRPr="0046545B">
        <w:rPr>
          <w:rFonts w:ascii="Times New Roman" w:hAnsi="Times New Roman" w:cs="Times New Roman"/>
          <w:i/>
          <w:iCs/>
        </w:rPr>
        <w:t>See</w:t>
      </w:r>
      <w:r w:rsidRPr="0046545B">
        <w:rPr>
          <w:rFonts w:ascii="Times New Roman" w:hAnsi="Times New Roman" w:cs="Times New Roman"/>
        </w:rPr>
        <w:t xml:space="preserve"> the attached document from</w:t>
      </w:r>
      <w:r>
        <w:rPr>
          <w:rFonts w:ascii="Times New Roman" w:hAnsi="Times New Roman" w:cs="Times New Roman"/>
        </w:rPr>
        <w:t xml:space="preserve"> a case in which all personal identifiable information has been redacted. This document shows an </w:t>
      </w:r>
      <w:r w:rsidRPr="0046545B">
        <w:rPr>
          <w:rFonts w:ascii="Times New Roman" w:hAnsi="Times New Roman" w:cs="Times New Roman"/>
        </w:rPr>
        <w:t>example of a</w:t>
      </w:r>
      <w:r>
        <w:rPr>
          <w:rFonts w:ascii="Times New Roman" w:hAnsi="Times New Roman" w:cs="Times New Roman"/>
        </w:rPr>
        <w:t xml:space="preserve">n argument to preclude a life care plan from being admitted into </w:t>
      </w:r>
      <w:r w:rsidRPr="0046545B">
        <w:rPr>
          <w:rFonts w:ascii="Times New Roman" w:hAnsi="Times New Roman" w:cs="Times New Roman"/>
        </w:rPr>
        <w:t>evidence.</w:t>
      </w:r>
      <w:r>
        <w:t xml:space="preserve">   </w:t>
      </w:r>
    </w:p>
  </w:footnote>
  <w:footnote w:id="38">
    <w:p w14:paraId="6B031C09" w14:textId="77777777" w:rsidR="007608E8" w:rsidRPr="00EC477D" w:rsidRDefault="005D2842">
      <w:pPr>
        <w:pStyle w:val="FootnoteText"/>
        <w:rPr>
          <w:rFonts w:ascii="Times New Roman" w:hAnsi="Times New Roman" w:cs="Times New Roman"/>
        </w:rPr>
      </w:pPr>
      <w:r w:rsidRPr="00EC477D">
        <w:rPr>
          <w:rStyle w:val="FootnoteReference"/>
          <w:rFonts w:ascii="Times New Roman" w:hAnsi="Times New Roman" w:cs="Times New Roman"/>
        </w:rPr>
        <w:footnoteRef/>
      </w:r>
      <w:r w:rsidRPr="00EC477D">
        <w:rPr>
          <w:rFonts w:ascii="Times New Roman" w:hAnsi="Times New Roman" w:cs="Times New Roman"/>
        </w:rPr>
        <w:t xml:space="preserve"> </w:t>
      </w:r>
      <w:bookmarkStart w:id="4" w:name="_Hlk32997851"/>
      <w:r w:rsidRPr="00B02AAB">
        <w:rPr>
          <w:rStyle w:val="ssrfcpassagedeactivated"/>
          <w:rFonts w:ascii="Times New Roman" w:hAnsi="Times New Roman" w:cs="Times New Roman"/>
        </w:rPr>
        <w:t xml:space="preserve">Karen Preston, Journal of Life Care Planning, Vol 17, No. 1, (3-3) </w:t>
      </w:r>
      <w:r w:rsidRPr="00B02AAB">
        <w:rPr>
          <w:rStyle w:val="ssrfcpassagedeactivated"/>
          <w:rFonts w:ascii="Times New Roman" w:hAnsi="Times New Roman" w:cs="Times New Roman"/>
        </w:rPr>
        <w:t>(2019), Int’l Assoc. of Rehab Professionals</w:t>
      </w:r>
      <w:r w:rsidRPr="00B02AAB">
        <w:rPr>
          <w:rStyle w:val="ssrfcpassagedeactivated"/>
          <w:rFonts w:ascii="Times New Roman" w:hAnsi="Times New Roman" w:cs="Times New Roman"/>
          <w:szCs w:val="24"/>
        </w:rPr>
        <w:t xml:space="preserve"> quoting from Berns, Johnson, Pomeranz, and Preston, Life Care Planning Summit (April 2010).</w:t>
      </w:r>
      <w:r>
        <w:rPr>
          <w:rStyle w:val="ssrfcpassagedeactivated"/>
          <w:rFonts w:ascii="Times New Roman" w:hAnsi="Times New Roman" w:cs="Times New Roman"/>
          <w:szCs w:val="24"/>
        </w:rPr>
        <w:t xml:space="preserve">   </w:t>
      </w:r>
      <w:bookmarkEnd w:id="4"/>
    </w:p>
  </w:footnote>
  <w:footnote w:id="39">
    <w:p w14:paraId="71577150" w14:textId="77777777" w:rsidR="007608E8" w:rsidRDefault="005D2842">
      <w:pPr>
        <w:pStyle w:val="FootnoteText"/>
      </w:pPr>
      <w:r>
        <w:rPr>
          <w:rStyle w:val="FootnoteReference"/>
        </w:rPr>
        <w:footnoteRef/>
      </w:r>
      <w:r>
        <w:t xml:space="preserve"> </w:t>
      </w:r>
      <w:r w:rsidRPr="002D06D7">
        <w:rPr>
          <w:rFonts w:ascii="Times New Roman" w:hAnsi="Times New Roman" w:cs="Times New Roman"/>
        </w:rPr>
        <w:t xml:space="preserve">Caragonne, Sofkais, Howlandis, </w:t>
      </w:r>
      <w:r w:rsidRPr="00B02AAB">
        <w:rPr>
          <w:rFonts w:ascii="Times New Roman" w:hAnsi="Times New Roman" w:cs="Times New Roman"/>
          <w:i/>
          <w:iCs/>
        </w:rPr>
        <w:t>supra note</w:t>
      </w:r>
      <w:r w:rsidRPr="002D06D7">
        <w:rPr>
          <w:rFonts w:ascii="Times New Roman" w:hAnsi="Times New Roman" w:cs="Times New Roman"/>
        </w:rPr>
        <w:t xml:space="preserve"> 1, at 3</w:t>
      </w:r>
      <w:r>
        <w:rPr>
          <w:rFonts w:ascii="Times New Roman" w:hAnsi="Times New Roman" w:cs="Times New Roman"/>
        </w:rPr>
        <w:t xml:space="preserve">7 </w:t>
      </w:r>
      <w:r w:rsidRPr="00194F11">
        <w:rPr>
          <w:rFonts w:ascii="Times New Roman" w:hAnsi="Times New Roman" w:cs="Times New Roman"/>
          <w:i/>
          <w:iCs/>
          <w:szCs w:val="24"/>
        </w:rPr>
        <w:t>citing</w:t>
      </w:r>
      <w:r w:rsidRPr="00005F3A">
        <w:rPr>
          <w:rFonts w:ascii="Times New Roman" w:hAnsi="Times New Roman" w:cs="Times New Roman"/>
          <w:szCs w:val="24"/>
        </w:rPr>
        <w:t xml:space="preserve"> National Association of Social Work, NASW Standards for Social Work Case Management 2013</w:t>
      </w:r>
      <w:r>
        <w:rPr>
          <w:rFonts w:ascii="Times New Roman" w:hAnsi="Times New Roman" w:cs="Times New Roman"/>
          <w:szCs w:val="24"/>
        </w:rPr>
        <w:t xml:space="preserve">. </w:t>
      </w:r>
      <w:r w:rsidRPr="00005F3A">
        <w:rPr>
          <w:rFonts w:ascii="Times New Roman" w:hAnsi="Times New Roman" w:cs="Times New Roman"/>
          <w:szCs w:val="24"/>
        </w:rPr>
        <w:t xml:space="preserve"> </w:t>
      </w:r>
    </w:p>
  </w:footnote>
  <w:footnote w:id="40">
    <w:p w14:paraId="42A30791" w14:textId="77777777" w:rsidR="007608E8" w:rsidRDefault="005D2842" w:rsidP="00EC477D">
      <w:r>
        <w:rPr>
          <w:rStyle w:val="FootnoteReference"/>
        </w:rPr>
        <w:footnoteRef/>
      </w:r>
      <w:r>
        <w:t xml:space="preserve"> </w:t>
      </w:r>
      <w:r w:rsidRPr="00EC477D">
        <w:rPr>
          <w:rStyle w:val="ssprior"/>
          <w:rFonts w:ascii="Times New Roman" w:hAnsi="Times New Roman" w:cs="Times New Roman"/>
          <w:sz w:val="20"/>
          <w:szCs w:val="20"/>
          <w:bdr w:val="none" w:sz="0" w:space="0" w:color="auto" w:frame="1"/>
        </w:rPr>
        <w:t>289 Va. 147, 1</w:t>
      </w:r>
      <w:r>
        <w:rPr>
          <w:rStyle w:val="ssprior"/>
          <w:rFonts w:ascii="Times New Roman" w:hAnsi="Times New Roman" w:cs="Times New Roman"/>
          <w:sz w:val="20"/>
          <w:szCs w:val="20"/>
          <w:bdr w:val="none" w:sz="0" w:space="0" w:color="auto" w:frame="1"/>
        </w:rPr>
        <w:t>47</w:t>
      </w:r>
      <w:r w:rsidRPr="00EC477D">
        <w:rPr>
          <w:rStyle w:val="ssprior"/>
          <w:rFonts w:ascii="Times New Roman" w:hAnsi="Times New Roman" w:cs="Times New Roman"/>
          <w:sz w:val="20"/>
          <w:szCs w:val="20"/>
          <w:bdr w:val="none" w:sz="0" w:space="0" w:color="auto" w:frame="1"/>
        </w:rPr>
        <w:t xml:space="preserve"> (2015)</w:t>
      </w:r>
      <w:r>
        <w:rPr>
          <w:rStyle w:val="ssprior"/>
          <w:rFonts w:ascii="Times New Roman" w:hAnsi="Times New Roman" w:cs="Times New Roman"/>
          <w:sz w:val="20"/>
          <w:szCs w:val="20"/>
          <w:bdr w:val="none" w:sz="0" w:space="0" w:color="auto" w:frame="1"/>
        </w:rPr>
        <w:t xml:space="preserve">. </w:t>
      </w:r>
    </w:p>
  </w:footnote>
  <w:footnote w:id="41">
    <w:p w14:paraId="0366291C" w14:textId="77777777" w:rsidR="007608E8" w:rsidRDefault="005D2842">
      <w:pPr>
        <w:pStyle w:val="FootnoteText"/>
      </w:pPr>
      <w:r>
        <w:rPr>
          <w:rStyle w:val="FootnoteReference"/>
        </w:rPr>
        <w:footnoteRef/>
      </w:r>
      <w:r>
        <w:t xml:space="preserve"> </w:t>
      </w:r>
      <w:hyperlink r:id="rId11" w:history="1">
        <w:r w:rsidRPr="00194F11">
          <w:rPr>
            <w:rStyle w:val="Hyperlink"/>
            <w:rFonts w:ascii="Times New Roman" w:hAnsi="Times New Roman" w:cs="Times New Roman"/>
            <w:i/>
            <w:iCs/>
            <w:color w:val="auto"/>
            <w:szCs w:val="24"/>
            <w:u w:val="none"/>
            <w:bdr w:val="none" w:sz="0" w:space="0" w:color="auto" w:frame="1"/>
            <w:shd w:val="clear" w:color="auto" w:fill="FFFFFF"/>
          </w:rPr>
          <w:t>Tazewell Oil Co. v. United Virginia Bank/Crestar Bank</w:t>
        </w:r>
        <w:r w:rsidRPr="00005F3A">
          <w:rPr>
            <w:rStyle w:val="Hyperlink"/>
            <w:rFonts w:ascii="Times New Roman" w:hAnsi="Times New Roman" w:cs="Times New Roman"/>
            <w:color w:val="auto"/>
            <w:szCs w:val="24"/>
            <w:u w:val="none"/>
            <w:bdr w:val="none" w:sz="0" w:space="0" w:color="auto" w:frame="1"/>
            <w:shd w:val="clear" w:color="auto" w:fill="FFFFFF"/>
          </w:rPr>
          <w:t xml:space="preserve">, 243 Va. 94, </w:t>
        </w:r>
        <w:r>
          <w:rPr>
            <w:rStyle w:val="Hyperlink"/>
            <w:rFonts w:ascii="Times New Roman" w:hAnsi="Times New Roman" w:cs="Times New Roman"/>
            <w:color w:val="auto"/>
            <w:szCs w:val="24"/>
            <w:u w:val="none"/>
            <w:bdr w:val="none" w:sz="0" w:space="0" w:color="auto" w:frame="1"/>
            <w:shd w:val="clear" w:color="auto" w:fill="FFFFFF"/>
          </w:rPr>
          <w:t>99.</w:t>
        </w:r>
      </w:hyperlink>
    </w:p>
  </w:footnote>
  <w:footnote w:id="42">
    <w:p w14:paraId="0143CC13" w14:textId="77777777" w:rsidR="007608E8" w:rsidRDefault="005D2842">
      <w:pPr>
        <w:pStyle w:val="FootnoteText"/>
      </w:pPr>
      <w:r>
        <w:rPr>
          <w:rStyle w:val="FootnoteReference"/>
        </w:rPr>
        <w:footnoteRef/>
      </w:r>
      <w:r>
        <w:t xml:space="preserve"> </w:t>
      </w:r>
      <w:r w:rsidRPr="00B02AAB">
        <w:rPr>
          <w:i/>
          <w:iCs/>
        </w:rPr>
        <w:t>See generally</w:t>
      </w:r>
      <w:r w:rsidRPr="00B02AAB">
        <w:t xml:space="preserve">, </w:t>
      </w:r>
      <w:r w:rsidRPr="00B02AAB">
        <w:rPr>
          <w:rStyle w:val="ssrfcpassagedeactivated"/>
          <w:rFonts w:ascii="Times New Roman" w:hAnsi="Times New Roman" w:cs="Times New Roman"/>
        </w:rPr>
        <w:t>Karen Preston, Journal of Life Care Planning, Vol 17, No. 1, (3-3) (2019), Int’l Assoc. of Rehab Professionals</w:t>
      </w:r>
      <w:r w:rsidRPr="00B02AAB">
        <w:rPr>
          <w:rStyle w:val="ssrfcpassagedeactivated"/>
          <w:rFonts w:ascii="Times New Roman" w:hAnsi="Times New Roman" w:cs="Times New Roman"/>
          <w:szCs w:val="24"/>
        </w:rPr>
        <w:t xml:space="preserve"> quoting from Berns, Johnson, Pomeranz, and Preston, Life Care Planning Summit (April 2010) (discussing standards of care for life care planners).</w:t>
      </w:r>
      <w:r>
        <w:rPr>
          <w:rStyle w:val="ssrfcpassagedeactivated"/>
          <w:rFonts w:ascii="Times New Roman" w:hAnsi="Times New Roman" w:cs="Times New Roman"/>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7D287" w14:textId="77777777" w:rsidR="00BE0060" w:rsidRDefault="005D28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5BFFE" w14:textId="77777777" w:rsidR="00BE0060" w:rsidRDefault="005D28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D5705" w14:textId="77777777" w:rsidR="00BE0060" w:rsidRDefault="005D28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01D1C"/>
    <w:multiLevelType w:val="hybridMultilevel"/>
    <w:tmpl w:val="9EEA1638"/>
    <w:lvl w:ilvl="0" w:tplc="D7069E7C">
      <w:start w:val="1"/>
      <w:numFmt w:val="upperRoman"/>
      <w:lvlText w:val="%1."/>
      <w:lvlJc w:val="left"/>
      <w:pPr>
        <w:ind w:left="1080" w:hanging="720"/>
      </w:pPr>
      <w:rPr>
        <w:rFonts w:hint="default"/>
      </w:rPr>
    </w:lvl>
    <w:lvl w:ilvl="1" w:tplc="7E8E71A2" w:tentative="1">
      <w:start w:val="1"/>
      <w:numFmt w:val="lowerLetter"/>
      <w:lvlText w:val="%2."/>
      <w:lvlJc w:val="left"/>
      <w:pPr>
        <w:ind w:left="1440" w:hanging="360"/>
      </w:pPr>
    </w:lvl>
    <w:lvl w:ilvl="2" w:tplc="F6B4EA8A" w:tentative="1">
      <w:start w:val="1"/>
      <w:numFmt w:val="lowerRoman"/>
      <w:lvlText w:val="%3."/>
      <w:lvlJc w:val="right"/>
      <w:pPr>
        <w:ind w:left="2160" w:hanging="180"/>
      </w:pPr>
    </w:lvl>
    <w:lvl w:ilvl="3" w:tplc="52C6F44A" w:tentative="1">
      <w:start w:val="1"/>
      <w:numFmt w:val="decimal"/>
      <w:lvlText w:val="%4."/>
      <w:lvlJc w:val="left"/>
      <w:pPr>
        <w:ind w:left="2880" w:hanging="360"/>
      </w:pPr>
    </w:lvl>
    <w:lvl w:ilvl="4" w:tplc="4FB41C22" w:tentative="1">
      <w:start w:val="1"/>
      <w:numFmt w:val="lowerLetter"/>
      <w:lvlText w:val="%5."/>
      <w:lvlJc w:val="left"/>
      <w:pPr>
        <w:ind w:left="3600" w:hanging="360"/>
      </w:pPr>
    </w:lvl>
    <w:lvl w:ilvl="5" w:tplc="C5362E52" w:tentative="1">
      <w:start w:val="1"/>
      <w:numFmt w:val="lowerRoman"/>
      <w:lvlText w:val="%6."/>
      <w:lvlJc w:val="right"/>
      <w:pPr>
        <w:ind w:left="4320" w:hanging="180"/>
      </w:pPr>
    </w:lvl>
    <w:lvl w:ilvl="6" w:tplc="7AC68C04" w:tentative="1">
      <w:start w:val="1"/>
      <w:numFmt w:val="decimal"/>
      <w:lvlText w:val="%7."/>
      <w:lvlJc w:val="left"/>
      <w:pPr>
        <w:ind w:left="5040" w:hanging="360"/>
      </w:pPr>
    </w:lvl>
    <w:lvl w:ilvl="7" w:tplc="178E2740" w:tentative="1">
      <w:start w:val="1"/>
      <w:numFmt w:val="lowerLetter"/>
      <w:lvlText w:val="%8."/>
      <w:lvlJc w:val="left"/>
      <w:pPr>
        <w:ind w:left="5760" w:hanging="360"/>
      </w:pPr>
    </w:lvl>
    <w:lvl w:ilvl="8" w:tplc="103C1486" w:tentative="1">
      <w:start w:val="1"/>
      <w:numFmt w:val="lowerRoman"/>
      <w:lvlText w:val="%9."/>
      <w:lvlJc w:val="right"/>
      <w:pPr>
        <w:ind w:left="6480" w:hanging="180"/>
      </w:pPr>
    </w:lvl>
  </w:abstractNum>
  <w:abstractNum w:abstractNumId="1" w15:restartNumberingAfterBreak="0">
    <w:nsid w:val="41C975D4"/>
    <w:multiLevelType w:val="hybridMultilevel"/>
    <w:tmpl w:val="917A817C"/>
    <w:lvl w:ilvl="0" w:tplc="7F988EEC">
      <w:start w:val="1"/>
      <w:numFmt w:val="upperLetter"/>
      <w:lvlText w:val="%1."/>
      <w:lvlJc w:val="left"/>
      <w:pPr>
        <w:ind w:left="1440" w:hanging="360"/>
      </w:pPr>
      <w:rPr>
        <w:rFonts w:hint="default"/>
      </w:rPr>
    </w:lvl>
    <w:lvl w:ilvl="1" w:tplc="6CA6AE02" w:tentative="1">
      <w:start w:val="1"/>
      <w:numFmt w:val="lowerLetter"/>
      <w:lvlText w:val="%2."/>
      <w:lvlJc w:val="left"/>
      <w:pPr>
        <w:ind w:left="2160" w:hanging="360"/>
      </w:pPr>
    </w:lvl>
    <w:lvl w:ilvl="2" w:tplc="293C4242" w:tentative="1">
      <w:start w:val="1"/>
      <w:numFmt w:val="lowerRoman"/>
      <w:lvlText w:val="%3."/>
      <w:lvlJc w:val="right"/>
      <w:pPr>
        <w:ind w:left="2880" w:hanging="180"/>
      </w:pPr>
    </w:lvl>
    <w:lvl w:ilvl="3" w:tplc="359639B2" w:tentative="1">
      <w:start w:val="1"/>
      <w:numFmt w:val="decimal"/>
      <w:lvlText w:val="%4."/>
      <w:lvlJc w:val="left"/>
      <w:pPr>
        <w:ind w:left="3600" w:hanging="360"/>
      </w:pPr>
    </w:lvl>
    <w:lvl w:ilvl="4" w:tplc="B0762916" w:tentative="1">
      <w:start w:val="1"/>
      <w:numFmt w:val="lowerLetter"/>
      <w:lvlText w:val="%5."/>
      <w:lvlJc w:val="left"/>
      <w:pPr>
        <w:ind w:left="4320" w:hanging="360"/>
      </w:pPr>
    </w:lvl>
    <w:lvl w:ilvl="5" w:tplc="9EA841AC" w:tentative="1">
      <w:start w:val="1"/>
      <w:numFmt w:val="lowerRoman"/>
      <w:lvlText w:val="%6."/>
      <w:lvlJc w:val="right"/>
      <w:pPr>
        <w:ind w:left="5040" w:hanging="180"/>
      </w:pPr>
    </w:lvl>
    <w:lvl w:ilvl="6" w:tplc="F9480186" w:tentative="1">
      <w:start w:val="1"/>
      <w:numFmt w:val="decimal"/>
      <w:lvlText w:val="%7."/>
      <w:lvlJc w:val="left"/>
      <w:pPr>
        <w:ind w:left="5760" w:hanging="360"/>
      </w:pPr>
    </w:lvl>
    <w:lvl w:ilvl="7" w:tplc="B0AA0AC0" w:tentative="1">
      <w:start w:val="1"/>
      <w:numFmt w:val="lowerLetter"/>
      <w:lvlText w:val="%8."/>
      <w:lvlJc w:val="left"/>
      <w:pPr>
        <w:ind w:left="6480" w:hanging="360"/>
      </w:pPr>
    </w:lvl>
    <w:lvl w:ilvl="8" w:tplc="D78212BA" w:tentative="1">
      <w:start w:val="1"/>
      <w:numFmt w:val="lowerRoman"/>
      <w:lvlText w:val="%9."/>
      <w:lvlJc w:val="right"/>
      <w:pPr>
        <w:ind w:left="7200" w:hanging="180"/>
      </w:pPr>
    </w:lvl>
  </w:abstractNum>
  <w:abstractNum w:abstractNumId="2" w15:restartNumberingAfterBreak="0">
    <w:nsid w:val="4F24584A"/>
    <w:multiLevelType w:val="hybridMultilevel"/>
    <w:tmpl w:val="E1C253FA"/>
    <w:lvl w:ilvl="0" w:tplc="2D104A56">
      <w:start w:val="2"/>
      <w:numFmt w:val="upperLetter"/>
      <w:lvlText w:val="%1."/>
      <w:lvlJc w:val="left"/>
      <w:pPr>
        <w:ind w:left="1440" w:hanging="360"/>
      </w:pPr>
      <w:rPr>
        <w:rFonts w:hint="default"/>
      </w:rPr>
    </w:lvl>
    <w:lvl w:ilvl="1" w:tplc="1EC49A9E">
      <w:start w:val="1"/>
      <w:numFmt w:val="lowerLetter"/>
      <w:lvlText w:val="%2."/>
      <w:lvlJc w:val="left"/>
      <w:pPr>
        <w:ind w:left="2160" w:hanging="360"/>
      </w:pPr>
    </w:lvl>
    <w:lvl w:ilvl="2" w:tplc="21E2360E">
      <w:start w:val="1"/>
      <w:numFmt w:val="lowerRoman"/>
      <w:lvlText w:val="%3."/>
      <w:lvlJc w:val="right"/>
      <w:pPr>
        <w:ind w:left="2880" w:hanging="180"/>
      </w:pPr>
    </w:lvl>
    <w:lvl w:ilvl="3" w:tplc="FEA49BB4">
      <w:start w:val="1"/>
      <w:numFmt w:val="decimal"/>
      <w:lvlText w:val="%4."/>
      <w:lvlJc w:val="left"/>
      <w:pPr>
        <w:ind w:left="3600" w:hanging="360"/>
      </w:pPr>
    </w:lvl>
    <w:lvl w:ilvl="4" w:tplc="BEE268DA" w:tentative="1">
      <w:start w:val="1"/>
      <w:numFmt w:val="lowerLetter"/>
      <w:lvlText w:val="%5."/>
      <w:lvlJc w:val="left"/>
      <w:pPr>
        <w:ind w:left="4320" w:hanging="360"/>
      </w:pPr>
    </w:lvl>
    <w:lvl w:ilvl="5" w:tplc="049AEB3A" w:tentative="1">
      <w:start w:val="1"/>
      <w:numFmt w:val="lowerRoman"/>
      <w:lvlText w:val="%6."/>
      <w:lvlJc w:val="right"/>
      <w:pPr>
        <w:ind w:left="5040" w:hanging="180"/>
      </w:pPr>
    </w:lvl>
    <w:lvl w:ilvl="6" w:tplc="C3EAA2B0" w:tentative="1">
      <w:start w:val="1"/>
      <w:numFmt w:val="decimal"/>
      <w:lvlText w:val="%7."/>
      <w:lvlJc w:val="left"/>
      <w:pPr>
        <w:ind w:left="5760" w:hanging="360"/>
      </w:pPr>
    </w:lvl>
    <w:lvl w:ilvl="7" w:tplc="D5BC0B1A" w:tentative="1">
      <w:start w:val="1"/>
      <w:numFmt w:val="lowerLetter"/>
      <w:lvlText w:val="%8."/>
      <w:lvlJc w:val="left"/>
      <w:pPr>
        <w:ind w:left="6480" w:hanging="360"/>
      </w:pPr>
    </w:lvl>
    <w:lvl w:ilvl="8" w:tplc="21BEE6E6" w:tentative="1">
      <w:start w:val="1"/>
      <w:numFmt w:val="lowerRoman"/>
      <w:lvlText w:val="%9."/>
      <w:lvlJc w:val="right"/>
      <w:pPr>
        <w:ind w:left="7200" w:hanging="180"/>
      </w:pPr>
    </w:lvl>
  </w:abstractNum>
  <w:abstractNum w:abstractNumId="3" w15:restartNumberingAfterBreak="0">
    <w:nsid w:val="5D3C08DC"/>
    <w:multiLevelType w:val="hybridMultilevel"/>
    <w:tmpl w:val="2A74130C"/>
    <w:lvl w:ilvl="0" w:tplc="331069CE">
      <w:start w:val="1"/>
      <w:numFmt w:val="upperRoman"/>
      <w:lvlText w:val="%1&gt;"/>
      <w:lvlJc w:val="left"/>
      <w:pPr>
        <w:ind w:left="1440" w:hanging="720"/>
      </w:pPr>
      <w:rPr>
        <w:rFonts w:hint="default"/>
      </w:rPr>
    </w:lvl>
    <w:lvl w:ilvl="1" w:tplc="6ED2DD48" w:tentative="1">
      <w:start w:val="1"/>
      <w:numFmt w:val="lowerLetter"/>
      <w:lvlText w:val="%2."/>
      <w:lvlJc w:val="left"/>
      <w:pPr>
        <w:ind w:left="1800" w:hanging="360"/>
      </w:pPr>
    </w:lvl>
    <w:lvl w:ilvl="2" w:tplc="CB565DBA" w:tentative="1">
      <w:start w:val="1"/>
      <w:numFmt w:val="lowerRoman"/>
      <w:lvlText w:val="%3."/>
      <w:lvlJc w:val="right"/>
      <w:pPr>
        <w:ind w:left="2520" w:hanging="180"/>
      </w:pPr>
    </w:lvl>
    <w:lvl w:ilvl="3" w:tplc="38104EBC" w:tentative="1">
      <w:start w:val="1"/>
      <w:numFmt w:val="decimal"/>
      <w:lvlText w:val="%4."/>
      <w:lvlJc w:val="left"/>
      <w:pPr>
        <w:ind w:left="3240" w:hanging="360"/>
      </w:pPr>
    </w:lvl>
    <w:lvl w:ilvl="4" w:tplc="FA16D5B4" w:tentative="1">
      <w:start w:val="1"/>
      <w:numFmt w:val="lowerLetter"/>
      <w:lvlText w:val="%5."/>
      <w:lvlJc w:val="left"/>
      <w:pPr>
        <w:ind w:left="3960" w:hanging="360"/>
      </w:pPr>
    </w:lvl>
    <w:lvl w:ilvl="5" w:tplc="FC28549A" w:tentative="1">
      <w:start w:val="1"/>
      <w:numFmt w:val="lowerRoman"/>
      <w:lvlText w:val="%6."/>
      <w:lvlJc w:val="right"/>
      <w:pPr>
        <w:ind w:left="4680" w:hanging="180"/>
      </w:pPr>
    </w:lvl>
    <w:lvl w:ilvl="6" w:tplc="0EB81CDA" w:tentative="1">
      <w:start w:val="1"/>
      <w:numFmt w:val="decimal"/>
      <w:lvlText w:val="%7."/>
      <w:lvlJc w:val="left"/>
      <w:pPr>
        <w:ind w:left="5400" w:hanging="360"/>
      </w:pPr>
    </w:lvl>
    <w:lvl w:ilvl="7" w:tplc="54B8675A" w:tentative="1">
      <w:start w:val="1"/>
      <w:numFmt w:val="lowerLetter"/>
      <w:lvlText w:val="%8."/>
      <w:lvlJc w:val="left"/>
      <w:pPr>
        <w:ind w:left="6120" w:hanging="360"/>
      </w:pPr>
    </w:lvl>
    <w:lvl w:ilvl="8" w:tplc="7B5CD654" w:tentative="1">
      <w:start w:val="1"/>
      <w:numFmt w:val="lowerRoman"/>
      <w:lvlText w:val="%9."/>
      <w:lvlJc w:val="right"/>
      <w:pPr>
        <w:ind w:left="6840" w:hanging="180"/>
      </w:pPr>
    </w:lvl>
  </w:abstractNum>
  <w:abstractNum w:abstractNumId="4" w15:restartNumberingAfterBreak="0">
    <w:nsid w:val="65C877A9"/>
    <w:multiLevelType w:val="hybridMultilevel"/>
    <w:tmpl w:val="BB08AF3E"/>
    <w:lvl w:ilvl="0" w:tplc="E6FE566C">
      <w:start w:val="1"/>
      <w:numFmt w:val="decimal"/>
      <w:lvlText w:val="%1."/>
      <w:lvlJc w:val="left"/>
      <w:pPr>
        <w:ind w:left="2880" w:hanging="360"/>
      </w:pPr>
    </w:lvl>
    <w:lvl w:ilvl="1" w:tplc="C0924378" w:tentative="1">
      <w:start w:val="1"/>
      <w:numFmt w:val="lowerLetter"/>
      <w:lvlText w:val="%2."/>
      <w:lvlJc w:val="left"/>
      <w:pPr>
        <w:ind w:left="3600" w:hanging="360"/>
      </w:pPr>
    </w:lvl>
    <w:lvl w:ilvl="2" w:tplc="D584C748" w:tentative="1">
      <w:start w:val="1"/>
      <w:numFmt w:val="lowerRoman"/>
      <w:lvlText w:val="%3."/>
      <w:lvlJc w:val="right"/>
      <w:pPr>
        <w:ind w:left="4320" w:hanging="180"/>
      </w:pPr>
    </w:lvl>
    <w:lvl w:ilvl="3" w:tplc="891C5AC2" w:tentative="1">
      <w:start w:val="1"/>
      <w:numFmt w:val="decimal"/>
      <w:lvlText w:val="%4."/>
      <w:lvlJc w:val="left"/>
      <w:pPr>
        <w:ind w:left="5040" w:hanging="360"/>
      </w:pPr>
    </w:lvl>
    <w:lvl w:ilvl="4" w:tplc="3E721BA6" w:tentative="1">
      <w:start w:val="1"/>
      <w:numFmt w:val="lowerLetter"/>
      <w:lvlText w:val="%5."/>
      <w:lvlJc w:val="left"/>
      <w:pPr>
        <w:ind w:left="5760" w:hanging="360"/>
      </w:pPr>
    </w:lvl>
    <w:lvl w:ilvl="5" w:tplc="301E3EE6" w:tentative="1">
      <w:start w:val="1"/>
      <w:numFmt w:val="lowerRoman"/>
      <w:lvlText w:val="%6."/>
      <w:lvlJc w:val="right"/>
      <w:pPr>
        <w:ind w:left="6480" w:hanging="180"/>
      </w:pPr>
    </w:lvl>
    <w:lvl w:ilvl="6" w:tplc="73DE713A" w:tentative="1">
      <w:start w:val="1"/>
      <w:numFmt w:val="decimal"/>
      <w:lvlText w:val="%7."/>
      <w:lvlJc w:val="left"/>
      <w:pPr>
        <w:ind w:left="7200" w:hanging="360"/>
      </w:pPr>
    </w:lvl>
    <w:lvl w:ilvl="7" w:tplc="348EBB20" w:tentative="1">
      <w:start w:val="1"/>
      <w:numFmt w:val="lowerLetter"/>
      <w:lvlText w:val="%8."/>
      <w:lvlJc w:val="left"/>
      <w:pPr>
        <w:ind w:left="7920" w:hanging="360"/>
      </w:pPr>
    </w:lvl>
    <w:lvl w:ilvl="8" w:tplc="711A8132" w:tentative="1">
      <w:start w:val="1"/>
      <w:numFmt w:val="lowerRoman"/>
      <w:lvlText w:val="%9."/>
      <w:lvlJc w:val="right"/>
      <w:pPr>
        <w:ind w:left="8640" w:hanging="180"/>
      </w:pPr>
    </w:lvl>
  </w:abstractNum>
  <w:abstractNum w:abstractNumId="5" w15:restartNumberingAfterBreak="0">
    <w:nsid w:val="74FB0FC0"/>
    <w:multiLevelType w:val="hybridMultilevel"/>
    <w:tmpl w:val="DF8A41A4"/>
    <w:lvl w:ilvl="0" w:tplc="80DE2FEE">
      <w:start w:val="1"/>
      <w:numFmt w:val="lowerLetter"/>
      <w:lvlText w:val="%1."/>
      <w:lvlJc w:val="left"/>
      <w:pPr>
        <w:ind w:left="1440" w:hanging="360"/>
      </w:pPr>
    </w:lvl>
    <w:lvl w:ilvl="1" w:tplc="384C4572" w:tentative="1">
      <w:start w:val="1"/>
      <w:numFmt w:val="lowerLetter"/>
      <w:lvlText w:val="%2."/>
      <w:lvlJc w:val="left"/>
      <w:pPr>
        <w:ind w:left="2160" w:hanging="360"/>
      </w:pPr>
    </w:lvl>
    <w:lvl w:ilvl="2" w:tplc="7CEAB628" w:tentative="1">
      <w:start w:val="1"/>
      <w:numFmt w:val="lowerRoman"/>
      <w:lvlText w:val="%3."/>
      <w:lvlJc w:val="right"/>
      <w:pPr>
        <w:ind w:left="2880" w:hanging="180"/>
      </w:pPr>
    </w:lvl>
    <w:lvl w:ilvl="3" w:tplc="C07E3F46" w:tentative="1">
      <w:start w:val="1"/>
      <w:numFmt w:val="decimal"/>
      <w:lvlText w:val="%4."/>
      <w:lvlJc w:val="left"/>
      <w:pPr>
        <w:ind w:left="3600" w:hanging="360"/>
      </w:pPr>
    </w:lvl>
    <w:lvl w:ilvl="4" w:tplc="D7046FFA" w:tentative="1">
      <w:start w:val="1"/>
      <w:numFmt w:val="lowerLetter"/>
      <w:lvlText w:val="%5."/>
      <w:lvlJc w:val="left"/>
      <w:pPr>
        <w:ind w:left="4320" w:hanging="360"/>
      </w:pPr>
    </w:lvl>
    <w:lvl w:ilvl="5" w:tplc="25FA710E" w:tentative="1">
      <w:start w:val="1"/>
      <w:numFmt w:val="lowerRoman"/>
      <w:lvlText w:val="%6."/>
      <w:lvlJc w:val="right"/>
      <w:pPr>
        <w:ind w:left="5040" w:hanging="180"/>
      </w:pPr>
    </w:lvl>
    <w:lvl w:ilvl="6" w:tplc="C914AB4C" w:tentative="1">
      <w:start w:val="1"/>
      <w:numFmt w:val="decimal"/>
      <w:lvlText w:val="%7."/>
      <w:lvlJc w:val="left"/>
      <w:pPr>
        <w:ind w:left="5760" w:hanging="360"/>
      </w:pPr>
    </w:lvl>
    <w:lvl w:ilvl="7" w:tplc="FDBA58A8" w:tentative="1">
      <w:start w:val="1"/>
      <w:numFmt w:val="lowerLetter"/>
      <w:lvlText w:val="%8."/>
      <w:lvlJc w:val="left"/>
      <w:pPr>
        <w:ind w:left="6480" w:hanging="360"/>
      </w:pPr>
    </w:lvl>
    <w:lvl w:ilvl="8" w:tplc="8CB0A0CC" w:tentative="1">
      <w:start w:val="1"/>
      <w:numFmt w:val="lowerRoman"/>
      <w:lvlText w:val="%9."/>
      <w:lvlJc w:val="right"/>
      <w:pPr>
        <w:ind w:left="7200" w:hanging="180"/>
      </w:pPr>
    </w:lvl>
  </w:abstractNum>
  <w:abstractNum w:abstractNumId="6" w15:restartNumberingAfterBreak="0">
    <w:nsid w:val="750F044E"/>
    <w:multiLevelType w:val="hybridMultilevel"/>
    <w:tmpl w:val="D21281FC"/>
    <w:lvl w:ilvl="0" w:tplc="AB0678A6">
      <w:start w:val="1"/>
      <w:numFmt w:val="upperRoman"/>
      <w:lvlText w:val="%1."/>
      <w:lvlJc w:val="left"/>
      <w:pPr>
        <w:ind w:left="1080" w:hanging="720"/>
      </w:pPr>
      <w:rPr>
        <w:rFonts w:hint="default"/>
      </w:rPr>
    </w:lvl>
    <w:lvl w:ilvl="1" w:tplc="DC589FA4">
      <w:start w:val="1"/>
      <w:numFmt w:val="lowerLetter"/>
      <w:lvlText w:val="%2."/>
      <w:lvlJc w:val="left"/>
      <w:pPr>
        <w:ind w:left="1440" w:hanging="360"/>
      </w:pPr>
    </w:lvl>
    <w:lvl w:ilvl="2" w:tplc="EDBE59A4">
      <w:start w:val="1"/>
      <w:numFmt w:val="lowerRoman"/>
      <w:lvlText w:val="%3."/>
      <w:lvlJc w:val="right"/>
      <w:pPr>
        <w:ind w:left="2160" w:hanging="180"/>
      </w:pPr>
    </w:lvl>
    <w:lvl w:ilvl="3" w:tplc="4AAE6D46">
      <w:start w:val="1"/>
      <w:numFmt w:val="decimal"/>
      <w:lvlText w:val="%4."/>
      <w:lvlJc w:val="left"/>
      <w:pPr>
        <w:ind w:left="2880" w:hanging="360"/>
      </w:pPr>
    </w:lvl>
    <w:lvl w:ilvl="4" w:tplc="8BB29A6A">
      <w:start w:val="1"/>
      <w:numFmt w:val="lowerLetter"/>
      <w:lvlText w:val="%5."/>
      <w:lvlJc w:val="left"/>
      <w:pPr>
        <w:ind w:left="3600" w:hanging="360"/>
      </w:pPr>
    </w:lvl>
    <w:lvl w:ilvl="5" w:tplc="50E84130" w:tentative="1">
      <w:start w:val="1"/>
      <w:numFmt w:val="lowerRoman"/>
      <w:lvlText w:val="%6."/>
      <w:lvlJc w:val="right"/>
      <w:pPr>
        <w:ind w:left="4320" w:hanging="180"/>
      </w:pPr>
    </w:lvl>
    <w:lvl w:ilvl="6" w:tplc="47980B3C" w:tentative="1">
      <w:start w:val="1"/>
      <w:numFmt w:val="decimal"/>
      <w:lvlText w:val="%7."/>
      <w:lvlJc w:val="left"/>
      <w:pPr>
        <w:ind w:left="5040" w:hanging="360"/>
      </w:pPr>
    </w:lvl>
    <w:lvl w:ilvl="7" w:tplc="63FADC38" w:tentative="1">
      <w:start w:val="1"/>
      <w:numFmt w:val="lowerLetter"/>
      <w:lvlText w:val="%8."/>
      <w:lvlJc w:val="left"/>
      <w:pPr>
        <w:ind w:left="5760" w:hanging="360"/>
      </w:pPr>
    </w:lvl>
    <w:lvl w:ilvl="8" w:tplc="DE306CCC" w:tentative="1">
      <w:start w:val="1"/>
      <w:numFmt w:val="lowerRoman"/>
      <w:lvlText w:val="%9."/>
      <w:lvlJc w:val="right"/>
      <w:pPr>
        <w:ind w:left="6480" w:hanging="180"/>
      </w:pPr>
    </w:lvl>
  </w:abstractNum>
  <w:abstractNum w:abstractNumId="7" w15:restartNumberingAfterBreak="0">
    <w:nsid w:val="7577207B"/>
    <w:multiLevelType w:val="hybridMultilevel"/>
    <w:tmpl w:val="9866EF98"/>
    <w:lvl w:ilvl="0" w:tplc="E3D86B64">
      <w:start w:val="1"/>
      <w:numFmt w:val="lowerLetter"/>
      <w:lvlText w:val="%1."/>
      <w:lvlJc w:val="left"/>
      <w:pPr>
        <w:ind w:left="3600" w:hanging="360"/>
      </w:pPr>
    </w:lvl>
    <w:lvl w:ilvl="1" w:tplc="381AC302" w:tentative="1">
      <w:start w:val="1"/>
      <w:numFmt w:val="lowerLetter"/>
      <w:lvlText w:val="%2."/>
      <w:lvlJc w:val="left"/>
      <w:pPr>
        <w:ind w:left="4320" w:hanging="360"/>
      </w:pPr>
    </w:lvl>
    <w:lvl w:ilvl="2" w:tplc="D84801F2" w:tentative="1">
      <w:start w:val="1"/>
      <w:numFmt w:val="lowerRoman"/>
      <w:lvlText w:val="%3."/>
      <w:lvlJc w:val="right"/>
      <w:pPr>
        <w:ind w:left="5040" w:hanging="180"/>
      </w:pPr>
    </w:lvl>
    <w:lvl w:ilvl="3" w:tplc="14CC183A" w:tentative="1">
      <w:start w:val="1"/>
      <w:numFmt w:val="decimal"/>
      <w:lvlText w:val="%4."/>
      <w:lvlJc w:val="left"/>
      <w:pPr>
        <w:ind w:left="5760" w:hanging="360"/>
      </w:pPr>
    </w:lvl>
    <w:lvl w:ilvl="4" w:tplc="AC54B478" w:tentative="1">
      <w:start w:val="1"/>
      <w:numFmt w:val="lowerLetter"/>
      <w:lvlText w:val="%5."/>
      <w:lvlJc w:val="left"/>
      <w:pPr>
        <w:ind w:left="6480" w:hanging="360"/>
      </w:pPr>
    </w:lvl>
    <w:lvl w:ilvl="5" w:tplc="160AF0EC" w:tentative="1">
      <w:start w:val="1"/>
      <w:numFmt w:val="lowerRoman"/>
      <w:lvlText w:val="%6."/>
      <w:lvlJc w:val="right"/>
      <w:pPr>
        <w:ind w:left="7200" w:hanging="180"/>
      </w:pPr>
    </w:lvl>
    <w:lvl w:ilvl="6" w:tplc="33DC0938" w:tentative="1">
      <w:start w:val="1"/>
      <w:numFmt w:val="decimal"/>
      <w:lvlText w:val="%7."/>
      <w:lvlJc w:val="left"/>
      <w:pPr>
        <w:ind w:left="7920" w:hanging="360"/>
      </w:pPr>
    </w:lvl>
    <w:lvl w:ilvl="7" w:tplc="F6443B8E" w:tentative="1">
      <w:start w:val="1"/>
      <w:numFmt w:val="lowerLetter"/>
      <w:lvlText w:val="%8."/>
      <w:lvlJc w:val="left"/>
      <w:pPr>
        <w:ind w:left="8640" w:hanging="360"/>
      </w:pPr>
    </w:lvl>
    <w:lvl w:ilvl="8" w:tplc="0DFE4AF2" w:tentative="1">
      <w:start w:val="1"/>
      <w:numFmt w:val="lowerRoman"/>
      <w:lvlText w:val="%9."/>
      <w:lvlJc w:val="right"/>
      <w:pPr>
        <w:ind w:left="9360" w:hanging="180"/>
      </w:pPr>
    </w:lvl>
  </w:abstractNum>
  <w:num w:numId="1">
    <w:abstractNumId w:val="6"/>
  </w:num>
  <w:num w:numId="2">
    <w:abstractNumId w:val="1"/>
  </w:num>
  <w:num w:numId="3">
    <w:abstractNumId w:val="2"/>
  </w:num>
  <w:num w:numId="4">
    <w:abstractNumId w:val="7"/>
  </w:num>
  <w:num w:numId="5">
    <w:abstractNumId w:val="4"/>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842"/>
    <w:rsid w:val="005D2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DE032"/>
  <w15:docId w15:val="{DCF12D87-0375-4F01-AC6A-CCEE3CF08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17B9"/>
    <w:pPr>
      <w:spacing w:after="0" w:line="240" w:lineRule="auto"/>
    </w:pPr>
    <w:rPr>
      <w:rFonts w:ascii="Cambria"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ID">
    <w:name w:val="DocID"/>
    <w:basedOn w:val="Footer"/>
    <w:next w:val="Footer"/>
    <w:link w:val="DocIDChar"/>
    <w:rsid w:val="00010924"/>
    <w:pPr>
      <w:tabs>
        <w:tab w:val="clear" w:pos="4680"/>
        <w:tab w:val="clear" w:pos="9360"/>
      </w:tabs>
    </w:pPr>
    <w:rPr>
      <w:rFonts w:ascii="Times New Roman" w:eastAsia="Times New Roman" w:hAnsi="Times New Roman" w:cs="Times New Roman"/>
      <w:sz w:val="16"/>
      <w:szCs w:val="20"/>
    </w:rPr>
  </w:style>
  <w:style w:type="character" w:customStyle="1" w:styleId="DocIDChar">
    <w:name w:val="DocID Char"/>
    <w:basedOn w:val="DefaultParagraphFont"/>
    <w:link w:val="DocID"/>
    <w:rsid w:val="00010924"/>
    <w:rPr>
      <w:rFonts w:ascii="Times New Roman" w:eastAsia="Times New Roman" w:hAnsi="Times New Roman" w:cs="Times New Roman"/>
      <w:sz w:val="16"/>
      <w:szCs w:val="20"/>
      <w:lang w:val="en-US" w:eastAsia="en-US"/>
    </w:rPr>
  </w:style>
  <w:style w:type="paragraph" w:styleId="Footer">
    <w:name w:val="footer"/>
    <w:basedOn w:val="Normal"/>
    <w:link w:val="FooterChar"/>
    <w:uiPriority w:val="99"/>
    <w:unhideWhenUsed/>
    <w:rsid w:val="00010924"/>
    <w:pPr>
      <w:tabs>
        <w:tab w:val="center" w:pos="4680"/>
        <w:tab w:val="right" w:pos="9360"/>
      </w:tabs>
    </w:pPr>
  </w:style>
  <w:style w:type="character" w:customStyle="1" w:styleId="FooterChar">
    <w:name w:val="Footer Char"/>
    <w:basedOn w:val="DefaultParagraphFont"/>
    <w:link w:val="Footer"/>
    <w:uiPriority w:val="99"/>
    <w:rsid w:val="00010924"/>
    <w:rPr>
      <w:rFonts w:ascii="Cambria" w:hAnsi="Cambria"/>
      <w:sz w:val="24"/>
    </w:rPr>
  </w:style>
  <w:style w:type="paragraph" w:styleId="Header">
    <w:name w:val="header"/>
    <w:basedOn w:val="Normal"/>
    <w:link w:val="HeaderChar"/>
    <w:uiPriority w:val="99"/>
    <w:unhideWhenUsed/>
    <w:rsid w:val="00010924"/>
    <w:pPr>
      <w:tabs>
        <w:tab w:val="center" w:pos="4680"/>
        <w:tab w:val="right" w:pos="9360"/>
      </w:tabs>
    </w:pPr>
  </w:style>
  <w:style w:type="character" w:customStyle="1" w:styleId="HeaderChar">
    <w:name w:val="Header Char"/>
    <w:basedOn w:val="DefaultParagraphFont"/>
    <w:link w:val="Header"/>
    <w:uiPriority w:val="99"/>
    <w:rsid w:val="00010924"/>
    <w:rPr>
      <w:rFonts w:ascii="Cambria" w:hAnsi="Cambria"/>
      <w:sz w:val="24"/>
    </w:rPr>
  </w:style>
  <w:style w:type="paragraph" w:styleId="ListParagraph">
    <w:name w:val="List Paragraph"/>
    <w:basedOn w:val="Normal"/>
    <w:uiPriority w:val="34"/>
    <w:qFormat/>
    <w:rsid w:val="00064E6D"/>
    <w:pPr>
      <w:ind w:left="720"/>
      <w:contextualSpacing/>
    </w:pPr>
  </w:style>
  <w:style w:type="character" w:styleId="Hyperlink">
    <w:name w:val="Hyperlink"/>
    <w:basedOn w:val="DefaultParagraphFont"/>
    <w:uiPriority w:val="99"/>
    <w:unhideWhenUsed/>
    <w:rsid w:val="001C019D"/>
    <w:rPr>
      <w:color w:val="0000FF"/>
      <w:u w:val="single"/>
    </w:rPr>
  </w:style>
  <w:style w:type="paragraph" w:styleId="NormalWeb">
    <w:name w:val="Normal (Web)"/>
    <w:basedOn w:val="Normal"/>
    <w:uiPriority w:val="99"/>
    <w:semiHidden/>
    <w:unhideWhenUsed/>
    <w:rsid w:val="008D43CA"/>
    <w:pPr>
      <w:spacing w:before="100" w:beforeAutospacing="1" w:after="100" w:afterAutospacing="1"/>
    </w:pPr>
    <w:rPr>
      <w:rFonts w:ascii="Times New Roman" w:eastAsia="Times New Roman" w:hAnsi="Times New Roman" w:cs="Times New Roman"/>
      <w:szCs w:val="24"/>
    </w:rPr>
  </w:style>
  <w:style w:type="character" w:customStyle="1" w:styleId="ssun">
    <w:name w:val="ss_un"/>
    <w:basedOn w:val="DefaultParagraphFont"/>
    <w:rsid w:val="008D43CA"/>
  </w:style>
  <w:style w:type="character" w:customStyle="1" w:styleId="ssrfcpassagedeactivated">
    <w:name w:val="ss_rfcpassage_deactivated"/>
    <w:basedOn w:val="DefaultParagraphFont"/>
    <w:rsid w:val="00F97924"/>
  </w:style>
  <w:style w:type="character" w:customStyle="1" w:styleId="ssit">
    <w:name w:val="ss_it"/>
    <w:basedOn w:val="DefaultParagraphFont"/>
    <w:rsid w:val="001B35B6"/>
  </w:style>
  <w:style w:type="character" w:customStyle="1" w:styleId="sscrbhighlight">
    <w:name w:val="ss_crbhighlight"/>
    <w:basedOn w:val="DefaultParagraphFont"/>
    <w:rsid w:val="000A2170"/>
  </w:style>
  <w:style w:type="character" w:customStyle="1" w:styleId="ssprior">
    <w:name w:val="ss_prior"/>
    <w:basedOn w:val="DefaultParagraphFont"/>
    <w:rsid w:val="000A2170"/>
  </w:style>
  <w:style w:type="character" w:customStyle="1" w:styleId="ssib">
    <w:name w:val="ss_ib"/>
    <w:basedOn w:val="DefaultParagraphFont"/>
    <w:rsid w:val="006A50CF"/>
  </w:style>
  <w:style w:type="character" w:customStyle="1" w:styleId="sssh">
    <w:name w:val="ss_sh"/>
    <w:basedOn w:val="DefaultParagraphFont"/>
    <w:rsid w:val="00205694"/>
  </w:style>
  <w:style w:type="character" w:customStyle="1" w:styleId="UnresolvedMention1">
    <w:name w:val="Unresolved Mention1"/>
    <w:basedOn w:val="DefaultParagraphFont"/>
    <w:uiPriority w:val="99"/>
    <w:semiHidden/>
    <w:unhideWhenUsed/>
    <w:rsid w:val="00DB6D02"/>
    <w:rPr>
      <w:color w:val="605E5C"/>
      <w:shd w:val="clear" w:color="auto" w:fill="E1DFDD"/>
    </w:rPr>
  </w:style>
  <w:style w:type="paragraph" w:styleId="FootnoteText">
    <w:name w:val="footnote text"/>
    <w:basedOn w:val="Normal"/>
    <w:link w:val="FootnoteTextChar"/>
    <w:uiPriority w:val="99"/>
    <w:semiHidden/>
    <w:unhideWhenUsed/>
    <w:rsid w:val="0053776F"/>
    <w:rPr>
      <w:sz w:val="20"/>
      <w:szCs w:val="20"/>
    </w:rPr>
  </w:style>
  <w:style w:type="character" w:customStyle="1" w:styleId="FootnoteTextChar">
    <w:name w:val="Footnote Text Char"/>
    <w:basedOn w:val="DefaultParagraphFont"/>
    <w:link w:val="FootnoteText"/>
    <w:uiPriority w:val="99"/>
    <w:semiHidden/>
    <w:rsid w:val="0053776F"/>
    <w:rPr>
      <w:rFonts w:ascii="Cambria" w:hAnsi="Cambria"/>
      <w:sz w:val="20"/>
      <w:szCs w:val="20"/>
    </w:rPr>
  </w:style>
  <w:style w:type="character" w:styleId="FootnoteReference">
    <w:name w:val="footnote reference"/>
    <w:basedOn w:val="DefaultParagraphFont"/>
    <w:uiPriority w:val="99"/>
    <w:semiHidden/>
    <w:unhideWhenUsed/>
    <w:rsid w:val="0053776F"/>
    <w:rPr>
      <w:vertAlign w:val="superscript"/>
    </w:rPr>
  </w:style>
  <w:style w:type="character" w:customStyle="1" w:styleId="fontstyle01">
    <w:name w:val="fontstyle01"/>
    <w:basedOn w:val="DefaultParagraphFont"/>
    <w:rsid w:val="00802B48"/>
    <w:rPr>
      <w:rFonts w:ascii="Helvetica" w:hAnsi="Helvetica" w:hint="default"/>
      <w:b w:val="0"/>
      <w:bCs w:val="0"/>
      <w:i w:val="0"/>
      <w:iCs w:val="0"/>
      <w:color w:val="000000"/>
      <w:sz w:val="18"/>
      <w:szCs w:val="18"/>
    </w:rPr>
  </w:style>
  <w:style w:type="paragraph" w:styleId="EndnoteText">
    <w:name w:val="endnote text"/>
    <w:basedOn w:val="Normal"/>
    <w:link w:val="EndnoteTextChar"/>
    <w:uiPriority w:val="99"/>
    <w:semiHidden/>
    <w:unhideWhenUsed/>
    <w:rsid w:val="001D5E46"/>
    <w:rPr>
      <w:sz w:val="20"/>
      <w:szCs w:val="20"/>
    </w:rPr>
  </w:style>
  <w:style w:type="character" w:customStyle="1" w:styleId="EndnoteTextChar">
    <w:name w:val="Endnote Text Char"/>
    <w:basedOn w:val="DefaultParagraphFont"/>
    <w:link w:val="EndnoteText"/>
    <w:uiPriority w:val="99"/>
    <w:semiHidden/>
    <w:rsid w:val="001D5E46"/>
    <w:rPr>
      <w:rFonts w:ascii="Cambria" w:hAnsi="Cambria"/>
      <w:sz w:val="20"/>
      <w:szCs w:val="20"/>
    </w:rPr>
  </w:style>
  <w:style w:type="character" w:styleId="EndnoteReference">
    <w:name w:val="endnote reference"/>
    <w:basedOn w:val="DefaultParagraphFont"/>
    <w:uiPriority w:val="99"/>
    <w:semiHidden/>
    <w:unhideWhenUsed/>
    <w:rsid w:val="001D5E46"/>
    <w:rPr>
      <w:vertAlign w:val="superscript"/>
    </w:rPr>
  </w:style>
  <w:style w:type="paragraph" w:styleId="BalloonText">
    <w:name w:val="Balloon Text"/>
    <w:basedOn w:val="Normal"/>
    <w:link w:val="BalloonTextChar"/>
    <w:uiPriority w:val="99"/>
    <w:semiHidden/>
    <w:unhideWhenUsed/>
    <w:rsid w:val="009B79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9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vance.lexis.com/api/document/collection/cases/id/5XS8-2GW1-JKPJ-G3VT-00000-00?cite=2019%20U.S.%20Dist.%20LEXIS%20217141&amp;context=1000516" TargetMode="External"/><Relationship Id="rId13" Type="http://schemas.openxmlformats.org/officeDocument/2006/relationships/hyperlink" Target="https://advance.lexis.com/api/document/collection/cases/id/5S17-X5G1-JB2B-S4FX-00000-00?page=565&amp;reporter=3461&amp;cite=68%20Va.%20App.%20547&amp;context=1000516"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dvance.lexis.com/api/document/collection/cases/id/3YRD-57R0-0039-40N4-00000-00?page=353&amp;reporter=3460&amp;cite=259%20Va.%20348&amp;context=1000516"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vance.lexis.com/document/midlinetitle/?pdmfid=1000516&amp;crid=34617ce2-f41d-4f27-aff1-0d2910039bf3&amp;pddocfullpath=%2Fshared%2Fdocument%2Fcases%2Furn%3AcontentItem%3A4NJ4-33S0-0039-44BR-00000-00&amp;pdcomponentid=10810&amp;ecomp=-7xfk&amp;earg=sr0&amp;prid=d4170a69-f14e-4258-b69e-e5c0e1420767"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advance.lexis.com/document/?pdmfid=1000516&amp;crid=e51bfd52-9b13-4d49-b4bc-1d0abb93e4de&amp;pddocfullpath=%2Fshared%2Fdocument%2Fcases%2Furn%3AcontentItem%3A5XS8-2GW1-JKPJ-G3VT-00000-00&amp;pddocid=urn%3AcontentItem%3A5XS8-2GW1-JKPJ-G3VT-00000-00&amp;pdcontentcomponentid=6414&amp;pdshepid=urn%3AcontentItem%3A5XSG-ND21-J9X5-Y20K-00000-00&amp;pdteaserkey=sr1&amp;pditab=allpods&amp;ecomp=spnqk&amp;earg=sr1&amp;prid=b80e7d48-c042-41de-a596-9fcc3028dd9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advance.lexis.com/document/?pdmfid=1000516&amp;crid=e51bfd52-9b13-4d49-b4bc-1d0abb93e4de&amp;pddocfullpath=%2Fshared%2Fdocument%2Fcases%2Furn%3AcontentItem%3A5XS8-2GW1-JKPJ-G3VT-00000-00&amp;pddocid=urn%3AcontentItem%3A5XS8-2GW1-JKPJ-G3VT-00000-00&amp;pdcontentcomponentid=6414&amp;pdshepid=urn%3AcontentItem%3A5XSG-ND21-J9X5-Y20K-00000-00&amp;pdteaserkey=sr1&amp;pditab=allpods&amp;ecomp=spnqk&amp;earg=sr1&amp;prid=b80e7d48-c042-41de-a596-9fcc3028dd9e"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advance.lexis.com/api/document/collection/cases/id/3S3J-VT50-003D-519Y-00000-00?page=560&amp;reporter=3460&amp;cite=237%20Va.%20558&amp;context=1000516" TargetMode="External"/><Relationship Id="rId3" Type="http://schemas.openxmlformats.org/officeDocument/2006/relationships/hyperlink" Target="https://advance.lexis.com/document/?pdmfid=1000516&amp;crid=e51bfd52-9b13-4d49-b4bc-1d0abb93e4de&amp;pddocfullpath=%2Fshared%2Fdocument%2Fcases%2Furn%3AcontentItem%3A5XS8-2GW1-JKPJ-G3VT-00000-00&amp;pddocid=urn%3AcontentItem%3A5XS8-2GW1-JKPJ-G3VT-00000-00&amp;pdcontentcomponentid=6414&amp;pdshepid=urn%3AcontentItem%3A5XSG-ND21-J9X5-Y20K-00000-00&amp;pdteaserkey=sr1&amp;pditab=allpods&amp;ecomp=spnqk&amp;earg=sr1&amp;prid=b80e7d48-c042-41de-a596-9fcc3028dd9e" TargetMode="External"/><Relationship Id="rId7" Type="http://schemas.openxmlformats.org/officeDocument/2006/relationships/hyperlink" Target="https://advance.lexis.com/api/document/collection/cases/id/4NJ4-33S0-0039-44BR-00000-00?page=561&amp;reporter=3460&amp;cite=273%20Va.%20554&amp;context=1000516" TargetMode="External"/><Relationship Id="rId2" Type="http://schemas.openxmlformats.org/officeDocument/2006/relationships/hyperlink" Target="https://advance.lexis.com/document/?pdmfid=1000516&amp;crid=e51bfd52-9b13-4d49-b4bc-1d0abb93e4de&amp;pddocfullpath=%2Fshared%2Fdocument%2Fcases%2Furn%3AcontentItem%3A5XS8-2GW1-JKPJ-G3VT-00000-00&amp;pddocid=urn%3AcontentItem%3A5XS8-2GW1-JKPJ-G3VT-00000-00&amp;pdcontentcomponentid=6414&amp;pdshepid=urn%3AcontentItem%3A5XSG-ND21-J9X5-Y20K-00000-00&amp;pdteaserkey=sr1&amp;pditab=allpods&amp;ecomp=spnqk&amp;earg=sr1&amp;prid=b80e7d48-c042-41de-a596-9fcc3028dd9e" TargetMode="External"/><Relationship Id="rId1" Type="http://schemas.openxmlformats.org/officeDocument/2006/relationships/hyperlink" Target="https://advance.lexis.com/api/document/collection/analytical-materials/id/5XM6-KS31-JXG3-X1XF-00000-00?page=34&amp;reporter=9943&amp;cite=32%20Health%20Lawyer%2034&amp;context=1000516" TargetMode="External"/><Relationship Id="rId6" Type="http://schemas.openxmlformats.org/officeDocument/2006/relationships/hyperlink" Target="https://advance.lexis.com/document/?pdmfid=1000516&amp;crid=3cfe59b2-7c89-4f1d-87fc-ae4c5dcab318&amp;pddocfullpath=%2Fshared%2Fdocument%2Fcases%2Furn%3AcontentItem%3A5FRW-M5K1-F04M-4012-00000-00&amp;pddocid=urn%3AcontentItem%3A5FRW-M5K1-F04M-4012-00000-00&amp;pdcontentcomponentid=10812&amp;pdshepid=urn%3AcontentItem%3A5FR0-15G1-DXC8-749V-00000-00&amp;pdteaserkey=sr0&amp;pditab=allpods&amp;ecomp=spnqk&amp;earg=sr0&amp;prid=5c0a4729-e410-4475-97df-64859a67da17" TargetMode="External"/><Relationship Id="rId11" Type="http://schemas.openxmlformats.org/officeDocument/2006/relationships/hyperlink" Target="https://advance.lexis.com/api/document/collection/cases/id/3S3J-VRS0-003D-50TJ-00000-00?page=110&amp;reporter=3460&amp;cite=243%20Va.%2094&amp;context=1000516" TargetMode="External"/><Relationship Id="rId5" Type="http://schemas.openxmlformats.org/officeDocument/2006/relationships/hyperlink" Target="https://advance.lexis.com/api/document/collection/cases/id/5FRW-M5K1-F04M-4012-00000-00?page=22&amp;reporter=7461&amp;cite=2015%20Va.%20App.%20LEXIS%20123&amp;context=1000516" TargetMode="External"/><Relationship Id="rId10" Type="http://schemas.openxmlformats.org/officeDocument/2006/relationships/hyperlink" Target="https://advance.lexis.com/api/document/collection/cases/id/5S17-X5G1-JB2B-S4FX-00000-00?page=565&amp;reporter=3461&amp;cite=68%20Va.%20App.%20547&amp;context=1000516" TargetMode="External"/><Relationship Id="rId4" Type="http://schemas.openxmlformats.org/officeDocument/2006/relationships/hyperlink" Target="https://advance.lexis.com/api/document/collection/cases/id/5XS8-2GW1-JKPJ-G3VT-00000-00?page=11&amp;reporter=1293&amp;cite=2019%20U.S.%20Dist.%20LEXIS%20217141&amp;context=1000516" TargetMode="External"/><Relationship Id="rId9" Type="http://schemas.openxmlformats.org/officeDocument/2006/relationships/hyperlink" Target="https://advance.lexis.com/api/document/collection/cases/id/3S3J-VT50-003D-519Y-00000-00?page=560&amp;reporter=3460&amp;cite=237%20Va.%20558&amp;context=10005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738F8-7752-43EA-99A1-D0560E037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3242</Words>
  <Characters>18483</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Amy Gilbody</cp:lastModifiedBy>
  <cp:revision>2</cp:revision>
  <dcterms:created xsi:type="dcterms:W3CDTF">2020-02-25T15:39:00Z</dcterms:created>
  <dcterms:modified xsi:type="dcterms:W3CDTF">2020-02-25T15:39:00Z</dcterms:modified>
</cp:coreProperties>
</file>